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52</w:t>
      </w:r>
      <w:bookmarkStart w:id="0" w:name="_GoBack"/>
      <w:bookmarkEnd w:id="0"/>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jc w:val="center"/>
        <w:textAlignment w:val="auto"/>
        <w:rPr>
          <w:rFonts w:hint="eastAsia" w:ascii="方正大标宋_GBK" w:hAnsi="方正大标宋_GBK" w:eastAsia="方正大标宋_GBK" w:cs="方正大标宋_GBK"/>
          <w:b w:val="0"/>
          <w:bCs w:val="0"/>
          <w:color w:val="000000" w:themeColor="text1"/>
          <w:sz w:val="44"/>
          <w:szCs w:val="44"/>
          <w14:textFill>
            <w14:solidFill>
              <w14:schemeClr w14:val="tx1"/>
            </w14:solidFill>
          </w14:textFill>
        </w:rPr>
      </w:pPr>
      <w:r>
        <w:rPr>
          <w:rFonts w:hint="eastAsia" w:ascii="方正大标宋_GBK" w:hAnsi="方正大标宋_GBK" w:eastAsia="方正大标宋_GBK" w:cs="方正大标宋_GBK"/>
          <w:b w:val="0"/>
          <w:bCs w:val="0"/>
          <w:color w:val="000000" w:themeColor="text1"/>
          <w:sz w:val="44"/>
          <w:szCs w:val="44"/>
          <w14:textFill>
            <w14:solidFill>
              <w14:schemeClr w14:val="tx1"/>
            </w14:solidFill>
          </w14:textFill>
        </w:rPr>
        <w:t>“二氧化碳电催化还原制C</w:t>
      </w:r>
      <w:r>
        <w:rPr>
          <w:rFonts w:hint="eastAsia" w:ascii="方正大标宋_GBK" w:hAnsi="方正大标宋_GBK" w:eastAsia="方正大标宋_GBK" w:cs="方正大标宋_GBK"/>
          <w:b w:val="0"/>
          <w:bCs w:val="0"/>
          <w:color w:val="000000" w:themeColor="text1"/>
          <w:sz w:val="44"/>
          <w:szCs w:val="44"/>
          <w:vertAlign w:val="subscript"/>
          <w14:textFill>
            <w14:solidFill>
              <w14:schemeClr w14:val="tx1"/>
            </w14:solidFill>
          </w14:textFill>
        </w:rPr>
        <w:t>2</w:t>
      </w:r>
      <w:r>
        <w:rPr>
          <w:rFonts w:hint="eastAsia" w:ascii="方正大标宋_GBK" w:hAnsi="方正大标宋_GBK" w:eastAsia="方正大标宋_GBK" w:cs="方正大标宋_GBK"/>
          <w:b w:val="0"/>
          <w:bCs w:val="0"/>
          <w:color w:val="000000" w:themeColor="text1"/>
          <w:sz w:val="44"/>
          <w:szCs w:val="44"/>
          <w14:textFill>
            <w14:solidFill>
              <w14:schemeClr w14:val="tx1"/>
            </w14:solidFill>
          </w14:textFill>
        </w:rPr>
        <w:t>产物的关键技术开发”比赛方案</w:t>
      </w: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eastAsia="方正楷体简体"/>
          <w:color w:val="000000" w:themeColor="text1"/>
          <w:sz w:val="32"/>
          <w:szCs w:val="32"/>
          <w:lang w:val="en-US" w:eastAsia="zh-CN"/>
          <w14:textFill>
            <w14:solidFill>
              <w14:schemeClr w14:val="tx1"/>
            </w14:solidFill>
          </w14:textFill>
        </w:rPr>
        <w:t>内蒙古鄂尔多斯电力冶金集团股份有限公司</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组织单位</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内蒙古鄂尔多斯电力冶金集团股份有限公司</w:t>
      </w: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题目名称</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二氧化碳电催化还原制C</w:t>
      </w:r>
      <w:r>
        <w:rPr>
          <w:rFonts w:hint="eastAsia" w:eastAsia="方正仿宋_GBK"/>
          <w:color w:val="000000" w:themeColor="text1"/>
          <w:spacing w:val="0"/>
          <w:sz w:val="32"/>
          <w:szCs w:val="32"/>
          <w:vertAlign w:val="subscript"/>
          <w:lang w:val="en-US"/>
          <w14:textFill>
            <w14:solidFill>
              <w14:schemeClr w14:val="tx1"/>
            </w14:solidFill>
          </w14:textFill>
        </w:rPr>
        <w:t>2</w:t>
      </w:r>
      <w:r>
        <w:rPr>
          <w:rFonts w:hint="eastAsia" w:eastAsia="方正仿宋_GBK"/>
          <w:color w:val="000000" w:themeColor="text1"/>
          <w:spacing w:val="0"/>
          <w:sz w:val="32"/>
          <w:szCs w:val="32"/>
          <w:lang w:val="en-US"/>
          <w14:textFill>
            <w14:solidFill>
              <w14:schemeClr w14:val="tx1"/>
            </w14:solidFill>
          </w14:textFill>
        </w:rPr>
        <w:t>产物的关键技术开发</w:t>
      </w: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题目介绍</w:t>
      </w:r>
    </w:p>
    <w:p>
      <w:pPr>
        <w:widowControl w:val="0"/>
        <w:spacing w:line="560" w:lineRule="exact"/>
        <w:ind w:firstLine="640" w:firstLineChars="200"/>
        <w:jc w:val="both"/>
        <w:rPr>
          <w:rFonts w:hint="eastAsia" w:ascii="Times New Roman" w:hAnsi="Times New Roman" w:eastAsia="方正仿宋_GBK" w:cs="Times New Roman"/>
          <w:color w:val="000000" w:themeColor="text1"/>
          <w:spacing w:val="0"/>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pacing w:val="0"/>
          <w:sz w:val="32"/>
          <w:szCs w:val="32"/>
          <w14:textFill>
            <w14:solidFill>
              <w14:schemeClr w14:val="tx1"/>
            </w14:solidFill>
          </w14:textFill>
        </w:rPr>
        <w:t>随着科学技术和工业生产的迅猛发展以及能源消耗的不断增加，温室气体</w:t>
      </w: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的大量排放引发了一系列环境与社会问题，中国计划在2030年</w:t>
      </w: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排放达到峰值，在2060年实现碳中和，这给国内能源结构、产业结构调整带来巨大转型压力，二氧化碳（</w:t>
      </w: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）电催化还原利用可再生能源产生的电能将</w:t>
      </w: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转化为高附加值燃料和化学品，已经成为一种解决气候变化与能源危机的有效途径，电催化还原</w:t>
      </w: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制备C</w:t>
      </w:r>
      <w:r>
        <w:rPr>
          <w:rFonts w:hint="default" w:ascii="Times New Roman" w:hAnsi="Times New Roman" w:eastAsia="方正仿宋_GBK" w:cs="Times New Roman"/>
          <w:color w:val="000000" w:themeColor="text1"/>
          <w:spacing w:val="0"/>
          <w:sz w:val="32"/>
          <w:szCs w:val="32"/>
          <w:vertAlign w:val="subscript"/>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产物存在众多难点</w:t>
      </w:r>
      <w:r>
        <w:rPr>
          <w:rFonts w:hint="eastAsia" w:eastAsia="方正仿宋_GBK" w:cs="Times New Roman"/>
          <w:color w:val="000000" w:themeColor="text1"/>
          <w:spacing w:val="0"/>
          <w:sz w:val="32"/>
          <w:szCs w:val="32"/>
          <w:lang w:eastAsia="zh-CN"/>
          <w14:textFill>
            <w14:solidFill>
              <w14:schemeClr w14:val="tx1"/>
            </w14:solidFill>
          </w14:textFill>
        </w:rPr>
        <w:t>：</w:t>
      </w:r>
    </w:p>
    <w:p>
      <w:pPr>
        <w:widowControl w:val="0"/>
        <w:numPr>
          <w:ilvl w:val="0"/>
          <w:numId w:val="3"/>
        </w:numPr>
        <w:spacing w:line="560" w:lineRule="exact"/>
        <w:ind w:firstLine="640" w:firstLineChars="200"/>
        <w:jc w:val="both"/>
        <w:rPr>
          <w:rFonts w:hint="default" w:ascii="Times New Roman" w:hAnsi="Times New Roman" w:eastAsia="方正仿宋_GBK" w:cs="Times New Roman"/>
          <w:color w:val="000000" w:themeColor="text1"/>
          <w:spacing w:val="0"/>
          <w:sz w:val="32"/>
          <w:szCs w:val="32"/>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自身化学惰性高，其在催化位点上的吸附及后续的碳氧键断裂等过程都较为困难；</w:t>
      </w:r>
    </w:p>
    <w:p>
      <w:pPr>
        <w:widowControl w:val="0"/>
        <w:numPr>
          <w:ilvl w:val="0"/>
          <w:numId w:val="3"/>
        </w:numPr>
        <w:spacing w:line="560" w:lineRule="exact"/>
        <w:ind w:left="0" w:leftChars="0" w:firstLine="640" w:firstLineChars="200"/>
        <w:jc w:val="both"/>
        <w:rPr>
          <w:rFonts w:hint="default" w:ascii="Times New Roman" w:hAnsi="Times New Roman" w:eastAsia="方正仿宋_GBK" w:cs="Times New Roman"/>
          <w:color w:val="000000" w:themeColor="text1"/>
          <w:spacing w:val="0"/>
          <w:sz w:val="32"/>
          <w:szCs w:val="32"/>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在水中的溶解度低，且与碳酸、碳酸氢根、碳酸根等物种存在动态平衡，这些物种均难以直接在电催化条件下被还原；</w:t>
      </w:r>
    </w:p>
    <w:p>
      <w:pPr>
        <w:widowControl w:val="0"/>
        <w:numPr>
          <w:ilvl w:val="0"/>
          <w:numId w:val="3"/>
        </w:numPr>
        <w:spacing w:line="560" w:lineRule="exact"/>
        <w:ind w:left="0" w:leftChars="0" w:firstLine="640" w:firstLineChars="200"/>
        <w:jc w:val="both"/>
        <w:rPr>
          <w:rFonts w:hint="default" w:ascii="Times New Roman" w:hAnsi="Times New Roman" w:eastAsia="方正仿宋_GBK" w:cs="Times New Roman"/>
          <w:color w:val="000000" w:themeColor="text1"/>
          <w:spacing w:val="0"/>
          <w:sz w:val="32"/>
          <w:szCs w:val="32"/>
          <w14:textFill>
            <w14:solidFill>
              <w14:schemeClr w14:val="tx1"/>
            </w14:solidFill>
          </w14:textFill>
        </w:rPr>
      </w:pPr>
      <w:r>
        <w:rPr>
          <w:rFonts w:hint="default" w:ascii="Times New Roman" w:hAnsi="Times New Roman" w:eastAsia="方正仿宋_GBK" w:cs="Times New Roman"/>
          <w:color w:val="000000" w:themeColor="text1"/>
          <w:spacing w:val="0"/>
          <w:sz w:val="32"/>
          <w:szCs w:val="32"/>
          <w14:textFill>
            <w14:solidFill>
              <w14:schemeClr w14:val="tx1"/>
            </w14:solidFill>
          </w14:textFill>
        </w:rPr>
        <w:t>还原反应存在多种路径，各种路径之间相互竞争，导致产物成分复杂。与生成一碳产物过程相比，二碳及多碳产物的生成涉及碳-碳偶联步骤，这在动力学上是二级反应，不利于与HER副反应的竞争，因此法拉第效率更低。</w:t>
      </w:r>
    </w:p>
    <w:p>
      <w:pPr>
        <w:widowControl w:val="0"/>
        <w:spacing w:line="560" w:lineRule="exact"/>
        <w:ind w:firstLine="640" w:firstLineChars="200"/>
        <w:jc w:val="both"/>
        <w:rPr>
          <w:rFonts w:hint="default" w:ascii="Times New Roman" w:hAnsi="Times New Roman" w:eastAsia="方正仿宋_GBK" w:cs="Times New Roman"/>
          <w:color w:val="000000" w:themeColor="text1"/>
          <w:spacing w:val="0"/>
          <w:sz w:val="32"/>
          <w:szCs w:val="32"/>
          <w14:textFill>
            <w14:solidFill>
              <w14:schemeClr w14:val="tx1"/>
            </w14:solidFill>
          </w14:textFill>
        </w:rPr>
      </w:pPr>
      <w:r>
        <w:rPr>
          <w:rFonts w:hint="default" w:ascii="Times New Roman" w:hAnsi="Times New Roman" w:eastAsia="方正仿宋_GBK" w:cs="Times New Roman"/>
          <w:color w:val="000000" w:themeColor="text1"/>
          <w:spacing w:val="0"/>
          <w:sz w:val="32"/>
          <w:szCs w:val="32"/>
          <w14:textFill>
            <w14:solidFill>
              <w14:schemeClr w14:val="tx1"/>
            </w14:solidFill>
          </w14:textFill>
        </w:rPr>
        <w:t>目前实验室阶段的催化剂，催化生成一碳产物的法拉第效率可达95%以上，而二碳产物的法拉第效率则一般为60%左右，三碳产物目前最高为21%，一般在10%以下。且仅有金属Cu与中间产物结合能适中又能继续发生质子耦合电子转移反应，可以直接把</w:t>
      </w: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转化为碳链更长的碳氢化合物和醇类。</w:t>
      </w:r>
    </w:p>
    <w:p>
      <w:pPr>
        <w:widowControl w:val="0"/>
        <w:spacing w:line="560" w:lineRule="exact"/>
        <w:ind w:firstLine="640" w:firstLineChars="200"/>
        <w:jc w:val="both"/>
        <w:rPr>
          <w:rFonts w:eastAsia="方正仿宋_GBK"/>
          <w:color w:val="000000" w:themeColor="text1"/>
          <w:spacing w:val="0"/>
          <w:sz w:val="32"/>
          <w:szCs w:val="32"/>
          <w14:textFill>
            <w14:solidFill>
              <w14:schemeClr w14:val="tx1"/>
            </w14:solidFill>
          </w14:textFill>
        </w:rPr>
      </w:pPr>
      <w:r>
        <w:rPr>
          <w:rFonts w:hint="default" w:ascii="Times New Roman" w:hAnsi="Times New Roman" w:eastAsia="方正仿宋_GBK" w:cs="Times New Roman"/>
          <w:color w:val="000000" w:themeColor="text1"/>
          <w:spacing w:val="0"/>
          <w:sz w:val="32"/>
          <w:szCs w:val="32"/>
          <w14:textFill>
            <w14:solidFill>
              <w14:schemeClr w14:val="tx1"/>
            </w14:solidFill>
          </w14:textFill>
        </w:rPr>
        <w:t>因此，设计一种成本低廉、始于工业应用、对电催化还原</w:t>
      </w:r>
      <w:r>
        <w:rPr>
          <w:rFonts w:hint="default" w:ascii="Times New Roman" w:hAnsi="Times New Roman" w:eastAsia="方正仿宋_GBK" w:cs="Times New Roman"/>
          <w:color w:val="000000" w:themeColor="text1"/>
          <w:spacing w:val="0"/>
          <w:sz w:val="32"/>
          <w:szCs w:val="32"/>
          <w:lang w:eastAsia="zh-CN"/>
          <w14:textFill>
            <w14:solidFill>
              <w14:schemeClr w14:val="tx1"/>
            </w14:solidFill>
          </w14:textFill>
        </w:rPr>
        <w:t>CO</w:t>
      </w:r>
      <w:r>
        <w:rPr>
          <w:rFonts w:hint="default" w:ascii="Times New Roman" w:hAnsi="Times New Roman" w:eastAsia="方正仿宋_GBK" w:cs="Times New Roman"/>
          <w:color w:val="000000" w:themeColor="text1"/>
          <w:spacing w:val="0"/>
          <w:sz w:val="32"/>
          <w:szCs w:val="32"/>
          <w:vertAlign w:val="subscript"/>
          <w:lang w:eastAsia="zh-CN"/>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制备C</w:t>
      </w:r>
      <w:r>
        <w:rPr>
          <w:rFonts w:hint="default" w:ascii="Times New Roman" w:hAnsi="Times New Roman" w:eastAsia="方正仿宋_GBK" w:cs="Times New Roman"/>
          <w:color w:val="000000" w:themeColor="text1"/>
          <w:spacing w:val="0"/>
          <w:sz w:val="32"/>
          <w:szCs w:val="32"/>
          <w:vertAlign w:val="subscript"/>
          <w14:textFill>
            <w14:solidFill>
              <w14:schemeClr w14:val="tx1"/>
            </w14:solidFill>
          </w14:textFill>
        </w:rPr>
        <w:t>2</w:t>
      </w:r>
      <w:r>
        <w:rPr>
          <w:rFonts w:hint="default" w:ascii="Times New Roman" w:hAnsi="Times New Roman" w:eastAsia="方正仿宋_GBK" w:cs="Times New Roman"/>
          <w:color w:val="000000" w:themeColor="text1"/>
          <w:spacing w:val="0"/>
          <w:sz w:val="32"/>
          <w:szCs w:val="32"/>
          <w14:textFill>
            <w14:solidFill>
              <w14:schemeClr w14:val="tx1"/>
            </w14:solidFill>
          </w14:textFill>
        </w:rPr>
        <w:t>产物具有高选择性的铜基催化剂具有较高的研究价值。</w:t>
      </w: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参赛对象</w:t>
      </w:r>
    </w:p>
    <w:p>
      <w:pPr>
        <w:pStyle w:val="7"/>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每件作品仅可由1所高校推报，高校在推报前要对参赛团队成员及作品进行相关资格审查。</w:t>
      </w:r>
    </w:p>
    <w:p>
      <w:pPr>
        <w:pStyle w:val="7"/>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答题要求</w:t>
      </w:r>
    </w:p>
    <w:p>
      <w:pPr>
        <w:numPr>
          <w:ilvl w:val="0"/>
          <w:numId w:val="0"/>
        </w:numPr>
        <w:spacing w:line="560" w:lineRule="exact"/>
        <w:ind w:firstLine="640" w:firstLineChars="200"/>
        <w:jc w:val="both"/>
        <w:rPr>
          <w:rFonts w:hint="default" w:eastAsia="方正仿宋_GBK"/>
          <w:color w:val="000000" w:themeColor="text1"/>
          <w:spacing w:val="0"/>
          <w:sz w:val="36"/>
          <w:szCs w:val="36"/>
          <w:lang w:val="en-US" w:eastAsia="zh-CN"/>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1.</w:t>
      </w:r>
      <w:r>
        <w:rPr>
          <w:rFonts w:hint="eastAsia" w:eastAsia="方正仿宋_GBK"/>
          <w:color w:val="000000" w:themeColor="text1"/>
          <w:spacing w:val="0"/>
          <w:sz w:val="32"/>
          <w:szCs w:val="32"/>
          <w:lang w:val="en-US" w:eastAsia="zh-CN"/>
          <w14:textFill>
            <w14:solidFill>
              <w14:schemeClr w14:val="tx1"/>
            </w14:solidFill>
          </w14:textFill>
        </w:rPr>
        <w:t xml:space="preserve"> </w:t>
      </w:r>
      <w:r>
        <w:rPr>
          <w:rFonts w:hint="eastAsia" w:eastAsia="方正仿宋_GBK"/>
          <w:color w:val="000000" w:themeColor="text1"/>
          <w:spacing w:val="0"/>
          <w:sz w:val="32"/>
          <w:szCs w:val="32"/>
          <w:lang w:val="en-US"/>
          <w14:textFill>
            <w14:solidFill>
              <w14:schemeClr w14:val="tx1"/>
            </w14:solidFill>
          </w14:textFill>
        </w:rPr>
        <w:t>合理设计铜基催化剂，通过改性提高法拉第效率以及C</w:t>
      </w:r>
      <w:r>
        <w:rPr>
          <w:rFonts w:hint="eastAsia" w:eastAsia="方正仿宋_GBK"/>
          <w:color w:val="000000" w:themeColor="text1"/>
          <w:spacing w:val="0"/>
          <w:sz w:val="32"/>
          <w:szCs w:val="32"/>
          <w:vertAlign w:val="subscript"/>
          <w:lang w:val="en-US"/>
          <w14:textFill>
            <w14:solidFill>
              <w14:schemeClr w14:val="tx1"/>
            </w14:solidFill>
          </w14:textFill>
        </w:rPr>
        <w:t>2</w:t>
      </w:r>
      <w:r>
        <w:rPr>
          <w:rFonts w:hint="eastAsia" w:eastAsia="方正仿宋_GBK"/>
          <w:color w:val="000000" w:themeColor="text1"/>
          <w:spacing w:val="0"/>
          <w:sz w:val="32"/>
          <w:szCs w:val="32"/>
          <w:lang w:val="en-US"/>
          <w14:textFill>
            <w14:solidFill>
              <w14:schemeClr w14:val="tx1"/>
            </w14:solidFill>
          </w14:textFill>
        </w:rPr>
        <w:t>产物选择性</w:t>
      </w:r>
      <w:r>
        <w:rPr>
          <w:rFonts w:hint="eastAsia" w:eastAsia="方正仿宋_GBK"/>
          <w:color w:val="000000" w:themeColor="text1"/>
          <w:spacing w:val="0"/>
          <w:sz w:val="32"/>
          <w:szCs w:val="32"/>
          <w:lang w:val="en-US" w:eastAsia="zh-CN"/>
          <w14:textFill>
            <w14:solidFill>
              <w14:schemeClr w14:val="tx1"/>
            </w14:solidFill>
          </w14:textFill>
        </w:rPr>
        <w:t>，提交可行性报告。</w:t>
      </w:r>
    </w:p>
    <w:p>
      <w:pPr>
        <w:numPr>
          <w:ilvl w:val="0"/>
          <w:numId w:val="0"/>
        </w:numPr>
        <w:spacing w:line="560" w:lineRule="exact"/>
        <w:ind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w:t>
      </w:r>
      <w:r>
        <w:rPr>
          <w:rFonts w:hint="eastAsia" w:eastAsia="方正仿宋_GBK"/>
          <w:color w:val="000000" w:themeColor="text1"/>
          <w:spacing w:val="0"/>
          <w:sz w:val="32"/>
          <w:szCs w:val="32"/>
          <w:lang w:val="en-US" w:eastAsia="zh-CN"/>
          <w14:textFill>
            <w14:solidFill>
              <w14:schemeClr w14:val="tx1"/>
            </w14:solidFill>
          </w14:textFill>
        </w:rPr>
        <w:t xml:space="preserve"> </w:t>
      </w:r>
      <w:r>
        <w:rPr>
          <w:rFonts w:hint="eastAsia" w:eastAsia="方正仿宋_GBK"/>
          <w:color w:val="000000" w:themeColor="text1"/>
          <w:spacing w:val="0"/>
          <w:sz w:val="32"/>
          <w:szCs w:val="32"/>
          <w:lang w:val="en-US"/>
          <w14:textFill>
            <w14:solidFill>
              <w14:schemeClr w14:val="tx1"/>
            </w14:solidFill>
          </w14:textFill>
        </w:rPr>
        <w:t>深入研究铜基催化剂在</w:t>
      </w:r>
      <w:r>
        <w:rPr>
          <w:rFonts w:hint="eastAsia" w:eastAsia="方正仿宋_GBK"/>
          <w:color w:val="000000" w:themeColor="text1"/>
          <w:spacing w:val="0"/>
          <w:sz w:val="32"/>
          <w:szCs w:val="32"/>
          <w:lang w:val="en-US" w:eastAsia="zh-CN"/>
          <w14:textFill>
            <w14:solidFill>
              <w14:schemeClr w14:val="tx1"/>
            </w14:solidFill>
          </w14:textFill>
        </w:rPr>
        <w:t>CO</w:t>
      </w:r>
      <w:r>
        <w:rPr>
          <w:rFonts w:hint="eastAsia" w:eastAsia="方正仿宋_GBK"/>
          <w:color w:val="000000" w:themeColor="text1"/>
          <w:spacing w:val="0"/>
          <w:sz w:val="32"/>
          <w:szCs w:val="32"/>
          <w:vertAlign w:val="subscript"/>
          <w:lang w:val="en-US" w:eastAsia="zh-CN"/>
          <w14:textFill>
            <w14:solidFill>
              <w14:schemeClr w14:val="tx1"/>
            </w14:solidFill>
          </w14:textFill>
        </w:rPr>
        <w:t>2</w:t>
      </w:r>
      <w:r>
        <w:rPr>
          <w:rFonts w:hint="eastAsia" w:eastAsia="方正仿宋_GBK"/>
          <w:color w:val="000000" w:themeColor="text1"/>
          <w:spacing w:val="0"/>
          <w:sz w:val="32"/>
          <w:szCs w:val="32"/>
          <w:lang w:val="en-US"/>
          <w14:textFill>
            <w14:solidFill>
              <w14:schemeClr w14:val="tx1"/>
            </w14:solidFill>
          </w14:textFill>
        </w:rPr>
        <w:t>电催化还原反应条件下的结构演变和构效关系</w:t>
      </w:r>
      <w:r>
        <w:rPr>
          <w:rFonts w:hint="eastAsia" w:eastAsia="方正仿宋_GBK"/>
          <w:color w:val="000000" w:themeColor="text1"/>
          <w:spacing w:val="0"/>
          <w:sz w:val="32"/>
          <w:szCs w:val="32"/>
          <w:lang w:val="en-US" w:eastAsia="zh-CN"/>
          <w14:textFill>
            <w14:solidFill>
              <w14:schemeClr w14:val="tx1"/>
            </w14:solidFill>
          </w14:textFill>
        </w:rPr>
        <w:t>，提交可行性报告。</w:t>
      </w:r>
    </w:p>
    <w:p>
      <w:pPr>
        <w:numPr>
          <w:ilvl w:val="0"/>
          <w:numId w:val="0"/>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3.</w:t>
      </w:r>
      <w:r>
        <w:rPr>
          <w:rFonts w:hint="eastAsia" w:eastAsia="方正仿宋_GBK"/>
          <w:color w:val="000000" w:themeColor="text1"/>
          <w:spacing w:val="0"/>
          <w:sz w:val="32"/>
          <w:szCs w:val="32"/>
          <w:lang w:val="en-US" w:eastAsia="zh-CN"/>
          <w14:textFill>
            <w14:solidFill>
              <w14:schemeClr w14:val="tx1"/>
            </w14:solidFill>
          </w14:textFill>
        </w:rPr>
        <w:t xml:space="preserve"> </w:t>
      </w:r>
      <w:r>
        <w:rPr>
          <w:rFonts w:hint="eastAsia" w:eastAsia="方正仿宋_GBK"/>
          <w:color w:val="000000" w:themeColor="text1"/>
          <w:spacing w:val="0"/>
          <w:sz w:val="32"/>
          <w:szCs w:val="32"/>
          <w:lang w:val="en-US"/>
          <w14:textFill>
            <w14:solidFill>
              <w14:schemeClr w14:val="tx1"/>
            </w14:solidFill>
          </w14:textFill>
        </w:rPr>
        <w:t>了解催化剂电催化制C</w:t>
      </w:r>
      <w:r>
        <w:rPr>
          <w:rFonts w:hint="eastAsia" w:eastAsia="方正仿宋_GBK"/>
          <w:color w:val="000000" w:themeColor="text1"/>
          <w:spacing w:val="0"/>
          <w:sz w:val="32"/>
          <w:szCs w:val="32"/>
          <w:vertAlign w:val="subscript"/>
          <w:lang w:val="en-US"/>
          <w14:textFill>
            <w14:solidFill>
              <w14:schemeClr w14:val="tx1"/>
            </w14:solidFill>
          </w14:textFill>
        </w:rPr>
        <w:t>2</w:t>
      </w:r>
      <w:r>
        <w:rPr>
          <w:rFonts w:hint="eastAsia" w:eastAsia="方正仿宋_GBK"/>
          <w:color w:val="000000" w:themeColor="text1"/>
          <w:spacing w:val="0"/>
          <w:sz w:val="32"/>
          <w:szCs w:val="32"/>
          <w:lang w:val="en-US"/>
          <w14:textFill>
            <w14:solidFill>
              <w14:schemeClr w14:val="tx1"/>
            </w14:solidFill>
          </w14:textFill>
        </w:rPr>
        <w:t>产物的反应机理</w:t>
      </w:r>
      <w:r>
        <w:rPr>
          <w:rFonts w:hint="eastAsia" w:eastAsia="方正仿宋_GBK"/>
          <w:color w:val="000000" w:themeColor="text1"/>
          <w:spacing w:val="0"/>
          <w:sz w:val="32"/>
          <w:szCs w:val="32"/>
          <w:lang w:val="en-US" w:eastAsia="zh-CN"/>
          <w14:textFill>
            <w14:solidFill>
              <w14:schemeClr w14:val="tx1"/>
            </w14:solidFill>
          </w14:textFill>
        </w:rPr>
        <w:t>，提交可行性报告</w:t>
      </w:r>
      <w:r>
        <w:rPr>
          <w:rFonts w:hint="eastAsia" w:eastAsia="方正仿宋_GBK"/>
          <w:color w:val="000000" w:themeColor="text1"/>
          <w:spacing w:val="0"/>
          <w:sz w:val="32"/>
          <w:szCs w:val="32"/>
          <w:lang w:val="en-US"/>
          <w14:textFill>
            <w14:solidFill>
              <w14:schemeClr w14:val="tx1"/>
            </w14:solidFill>
          </w14:textFill>
        </w:rPr>
        <w:t>。</w:t>
      </w:r>
    </w:p>
    <w:p>
      <w:pPr>
        <w:numPr>
          <w:ilvl w:val="0"/>
          <w:numId w:val="0"/>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 xml:space="preserve">4. </w:t>
      </w:r>
      <w:r>
        <w:rPr>
          <w:rFonts w:eastAsia="方正仿宋_GBK"/>
          <w:color w:val="000000" w:themeColor="text1"/>
          <w:spacing w:val="0"/>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pacing w:val="0"/>
          <w:sz w:val="32"/>
          <w:szCs w:val="32"/>
          <w:lang w:val="en-US" w:eastAsia="zh-CN"/>
          <w14:textFill>
            <w14:solidFill>
              <w14:schemeClr w14:val="tx1"/>
            </w14:solidFill>
          </w14:textFill>
        </w:rPr>
        <w:t>5</w:t>
      </w:r>
      <w:r>
        <w:rPr>
          <w:rFonts w:eastAsia="方正仿宋_GBK"/>
          <w:color w:val="000000" w:themeColor="text1"/>
          <w:spacing w:val="0"/>
          <w:sz w:val="32"/>
          <w:szCs w:val="32"/>
          <w:lang w:val="en-US"/>
          <w14:textFill>
            <w14:solidFill>
              <w14:schemeClr w14:val="tx1"/>
            </w14:solidFill>
          </w14:textFill>
        </w:rPr>
        <w:t>日前，各参赛团队提交作品。</w:t>
      </w: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作品评选标准</w:t>
      </w:r>
    </w:p>
    <w:p>
      <w:pPr>
        <w:pStyle w:val="4"/>
        <w:ind w:left="0" w:firstLine="640" w:firstLineChars="200"/>
        <w:jc w:val="both"/>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基本要求</w:t>
      </w:r>
    </w:p>
    <w:p>
      <w:pPr>
        <w:numPr>
          <w:ilvl w:val="0"/>
          <w:numId w:val="4"/>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发展现状调研清晰，研究思路合理，技术路线可行；</w:t>
      </w:r>
    </w:p>
    <w:p>
      <w:pPr>
        <w:numPr>
          <w:ilvl w:val="0"/>
          <w:numId w:val="4"/>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作品具有完整性；</w:t>
      </w:r>
    </w:p>
    <w:p>
      <w:pPr>
        <w:numPr>
          <w:ilvl w:val="0"/>
          <w:numId w:val="4"/>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文档、PPT等展示材料内容齐全、页面整洁、图标清晰、公式准确。</w:t>
      </w:r>
    </w:p>
    <w:p>
      <w:pPr>
        <w:pStyle w:val="4"/>
        <w:ind w:left="0"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优选要求</w:t>
      </w:r>
    </w:p>
    <w:p>
      <w:pPr>
        <w:pStyle w:val="4"/>
        <w:numPr>
          <w:ilvl w:val="0"/>
          <w:numId w:val="0"/>
        </w:numPr>
        <w:ind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（1）催化剂设计具有新颖性，催化剂性能优异，催化剂构效关系清晰，机理解释合理；</w:t>
      </w:r>
    </w:p>
    <w:p>
      <w:pPr>
        <w:numPr>
          <w:ilvl w:val="0"/>
          <w:numId w:val="0"/>
        </w:numPr>
        <w:spacing w:line="560" w:lineRule="exact"/>
        <w:ind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（2）催化剂设计合理有一定创新，催化剂性能良好，催化剂构效关系明确，有机理解释；</w:t>
      </w:r>
    </w:p>
    <w:p>
      <w:pPr>
        <w:numPr>
          <w:ilvl w:val="0"/>
          <w:numId w:val="0"/>
        </w:numPr>
        <w:spacing w:line="560" w:lineRule="exact"/>
        <w:ind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（3）催化剂设计合理，催化剂性能良好，催化剂结构和性能能够对应；</w:t>
      </w:r>
    </w:p>
    <w:p>
      <w:pPr>
        <w:numPr>
          <w:ilvl w:val="0"/>
          <w:numId w:val="0"/>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设计方案清晰，程序可运行，可拓展性强；</w:t>
      </w:r>
    </w:p>
    <w:p>
      <w:pPr>
        <w:numPr>
          <w:ilvl w:val="0"/>
          <w:numId w:val="0"/>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（5）</w:t>
      </w:r>
      <w:r>
        <w:rPr>
          <w:rFonts w:eastAsia="方正仿宋_GBK"/>
          <w:color w:val="000000" w:themeColor="text1"/>
          <w:spacing w:val="0"/>
          <w:sz w:val="32"/>
          <w:szCs w:val="32"/>
          <w:lang w:val="en-US"/>
          <w14:textFill>
            <w14:solidFill>
              <w14:schemeClr w14:val="tx1"/>
            </w14:solidFill>
          </w14:textFill>
        </w:rPr>
        <w:t>研究成果有望投入实践应用。</w:t>
      </w: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作品提交时间</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2024年</w:t>
      </w:r>
      <w:r>
        <w:rPr>
          <w:rFonts w:hint="eastAsia" w:eastAsia="方正仿宋_GBK"/>
          <w:color w:val="000000" w:themeColor="text1"/>
          <w:spacing w:val="0"/>
          <w:sz w:val="32"/>
          <w:szCs w:val="32"/>
          <w:lang w:val="en-US" w:eastAsia="zh-CN"/>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挑战杯</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竞赛组织协调机构要积极组织学生参赛，安排有关老师给予指导，为参赛团队提供支持保障；</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8月</w:t>
      </w:r>
      <w:r>
        <w:rPr>
          <w:rFonts w:hint="eastAsia" w:eastAsia="方正仿宋_GBK"/>
          <w:color w:val="000000" w:themeColor="text1"/>
          <w:spacing w:val="0"/>
          <w:sz w:val="32"/>
          <w:szCs w:val="32"/>
          <w:lang w:val="en-US" w:eastAsia="zh-CN"/>
          <w14:textFill>
            <w14:solidFill>
              <w14:schemeClr w14:val="tx1"/>
            </w14:solidFill>
          </w14:textFill>
        </w:rPr>
        <w:t>5</w:t>
      </w:r>
      <w:r>
        <w:rPr>
          <w:rFonts w:eastAsia="方正仿宋_GBK"/>
          <w:color w:val="000000" w:themeColor="text1"/>
          <w:spacing w:val="0"/>
          <w:sz w:val="32"/>
          <w:szCs w:val="32"/>
          <w:lang w:val="en-US"/>
          <w14:textFill>
            <w14:solidFill>
              <w14:schemeClr w14:val="tx1"/>
            </w14:solidFill>
          </w14:textFill>
        </w:rPr>
        <w:t>日前，各参赛团队向组委会提交作品，具体提交要求详见作品提交方式。</w:t>
      </w: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参赛报名及作品提交方式</w:t>
      </w:r>
    </w:p>
    <w:p>
      <w:pPr>
        <w:pStyle w:val="17"/>
        <w:spacing w:line="560" w:lineRule="exact"/>
        <w:ind w:firstLine="640"/>
        <w:jc w:val="both"/>
        <w:rPr>
          <w:color w:val="000000" w:themeColor="text1"/>
          <w:spacing w:val="0"/>
          <w:lang w:val="en-US"/>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1.</w:t>
      </w:r>
      <w:r>
        <w:rPr>
          <w:rFonts w:hint="eastAsia" w:eastAsia="方正楷体_GBK"/>
          <w:color w:val="000000" w:themeColor="text1"/>
          <w:spacing w:val="0"/>
          <w:sz w:val="32"/>
          <w:szCs w:val="32"/>
          <w:lang w:val="en-US" w:eastAsia="zh-CN"/>
          <w14:textFill>
            <w14:solidFill>
              <w14:schemeClr w14:val="tx1"/>
            </w14:solidFill>
          </w14:textFill>
        </w:rPr>
        <w:t xml:space="preserve"> </w:t>
      </w:r>
      <w:r>
        <w:rPr>
          <w:rFonts w:eastAsia="方正楷体_GBK"/>
          <w:color w:val="000000" w:themeColor="text1"/>
          <w:spacing w:val="0"/>
          <w:sz w:val="32"/>
          <w:szCs w:val="32"/>
          <w14:textFill>
            <w14:solidFill>
              <w14:schemeClr w14:val="tx1"/>
            </w14:solidFill>
          </w14:textFill>
        </w:rPr>
        <w:t>网上</w:t>
      </w:r>
      <w:r>
        <w:rPr>
          <w:rFonts w:eastAsia="方正楷体_GBK"/>
          <w:color w:val="000000" w:themeColor="text1"/>
          <w:spacing w:val="0"/>
          <w:sz w:val="32"/>
          <w:szCs w:val="32"/>
          <w:lang w:val="en-US"/>
          <w14:textFill>
            <w14:solidFill>
              <w14:schemeClr w14:val="tx1"/>
            </w14:solidFill>
          </w14:textFill>
        </w:rPr>
        <w:t>报名方式</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（1）请参赛同学通过PC电脑端登录报名网站（https://fxyh-t.bocmartech.com/jbgs/#/login），在线填写报名信息。</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（3）将审核通过的报名表扫描件上传系统，等待所在学校及发榜单位审核。</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（4）请参赛同学注意查看审核状态，如审核不通过，需重新提交。具体操作流程详见报名网站《操作手册》。</w:t>
      </w:r>
    </w:p>
    <w:p>
      <w:pPr>
        <w:pStyle w:val="17"/>
        <w:spacing w:line="560" w:lineRule="exact"/>
        <w:ind w:firstLine="640"/>
        <w:jc w:val="both"/>
        <w:rPr>
          <w:rFonts w:eastAsia="方正楷体_GBK"/>
          <w:color w:val="000000" w:themeColor="text1"/>
          <w:spacing w:val="0"/>
          <w:sz w:val="32"/>
          <w:szCs w:val="32"/>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2.</w:t>
      </w:r>
      <w:r>
        <w:rPr>
          <w:rFonts w:hint="eastAsia" w:eastAsia="方正楷体_GBK"/>
          <w:color w:val="000000" w:themeColor="text1"/>
          <w:spacing w:val="0"/>
          <w:sz w:val="32"/>
          <w:szCs w:val="32"/>
          <w:lang w:val="en-US" w:eastAsia="zh-CN"/>
          <w14:textFill>
            <w14:solidFill>
              <w14:schemeClr w14:val="tx1"/>
            </w14:solidFill>
          </w14:textFill>
        </w:rPr>
        <w:t xml:space="preserve"> </w:t>
      </w:r>
      <w:r>
        <w:rPr>
          <w:rFonts w:eastAsia="方正楷体_GBK"/>
          <w:color w:val="000000" w:themeColor="text1"/>
          <w:spacing w:val="0"/>
          <w:sz w:val="32"/>
          <w:szCs w:val="32"/>
          <w14:textFill>
            <w14:solidFill>
              <w14:schemeClr w14:val="tx1"/>
            </w14:solidFill>
          </w14:textFill>
        </w:rPr>
        <w:t>具体作品提交方式</w:t>
      </w:r>
    </w:p>
    <w:p>
      <w:pPr>
        <w:spacing w:line="560" w:lineRule="exact"/>
        <w:ind w:firstLine="640" w:firstLineChars="200"/>
        <w:jc w:val="both"/>
        <w:rPr>
          <w:rFonts w:eastAsiaTheme="minorEastAsia"/>
          <w:color w:val="000000" w:themeColor="text1"/>
          <w:spacing w:val="0"/>
          <w:sz w:val="21"/>
          <w:szCs w:val="21"/>
          <w:lang w:val="en-US"/>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提交具体作品时，务必一并提交1份报名系统中审核通过的参赛报名表（所有信息与系统中填报信息保持严格一致）。</w:t>
      </w:r>
    </w:p>
    <w:p>
      <w:pPr>
        <w:spacing w:line="560" w:lineRule="exact"/>
        <w:ind w:firstLine="640" w:firstLineChars="200"/>
        <w:jc w:val="both"/>
        <w:rPr>
          <w:rFonts w:eastAsia="方正仿宋_GBK"/>
          <w:bCs/>
          <w:color w:val="000000" w:themeColor="text1"/>
          <w:spacing w:val="0"/>
          <w:sz w:val="32"/>
          <w:szCs w:val="32"/>
          <w:lang w:val="en-US"/>
          <w14:textFill>
            <w14:solidFill>
              <w14:schemeClr w14:val="tx1"/>
            </w14:solidFill>
          </w14:textFill>
        </w:rPr>
      </w:pPr>
      <w:r>
        <w:rPr>
          <w:rFonts w:eastAsia="方正仿宋_GBK"/>
          <w:bCs/>
          <w:color w:val="000000" w:themeColor="text1"/>
          <w:spacing w:val="0"/>
          <w:sz w:val="32"/>
          <w:szCs w:val="32"/>
          <w14:textFill>
            <w14:solidFill>
              <w14:schemeClr w14:val="tx1"/>
            </w14:solidFill>
          </w14:textFill>
        </w:rPr>
        <w:t>请将作品文档及程序以压缩包格式上传至网站指定路径（https://challenge.dtxiaotangren.com）。</w:t>
      </w:r>
    </w:p>
    <w:p>
      <w:pPr>
        <w:spacing w:line="560" w:lineRule="exact"/>
        <w:ind w:firstLine="640" w:firstLineChars="200"/>
        <w:jc w:val="both"/>
        <w:rPr>
          <w:rFonts w:eastAsia="方正仿宋_GBK"/>
          <w:bCs/>
          <w:color w:val="000000" w:themeColor="text1"/>
          <w:spacing w:val="0"/>
          <w:sz w:val="32"/>
          <w:szCs w:val="32"/>
          <w14:textFill>
            <w14:solidFill>
              <w14:schemeClr w14:val="tx1"/>
            </w14:solidFill>
          </w14:textFill>
        </w:rPr>
      </w:pPr>
      <w:r>
        <w:rPr>
          <w:rFonts w:eastAsia="方正仿宋_GBK"/>
          <w:bCs/>
          <w:color w:val="000000" w:themeColor="text1"/>
          <w:spacing w:val="0"/>
          <w:sz w:val="32"/>
          <w:szCs w:val="32"/>
          <w14:textFill>
            <w14:solidFill>
              <w14:schemeClr w14:val="tx1"/>
            </w14:solidFill>
          </w14:textFill>
        </w:rPr>
        <w:t>压缩包名称格式：提报单位（学校全称）-选题名称-作品名称。</w:t>
      </w:r>
    </w:p>
    <w:p>
      <w:pPr>
        <w:pStyle w:val="3"/>
        <w:ind w:firstLine="640"/>
        <w:jc w:val="both"/>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赛事保障</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本单位在参赛团队完成相关审核等程序后可提供参观应用现场的机会。</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赛事办公室设在</w:t>
      </w:r>
      <w:r>
        <w:rPr>
          <w:rFonts w:hint="eastAsia" w:eastAsia="方正仿宋_GBK"/>
          <w:color w:val="000000" w:themeColor="text1"/>
          <w:spacing w:val="0"/>
          <w:sz w:val="32"/>
          <w:szCs w:val="32"/>
          <w:lang w:val="en-US" w:eastAsia="zh-CN"/>
          <w14:textFill>
            <w14:solidFill>
              <w14:schemeClr w14:val="tx1"/>
            </w14:solidFill>
          </w14:textFill>
        </w:rPr>
        <w:t>内蒙古鄂尔多斯电力冶金集团股份有限公司工业技术研究院</w:t>
      </w:r>
      <w:r>
        <w:rPr>
          <w:rFonts w:eastAsia="方正仿宋_GBK"/>
          <w:color w:val="000000" w:themeColor="text1"/>
          <w:spacing w:val="0"/>
          <w:sz w:val="32"/>
          <w:szCs w:val="32"/>
          <w:lang w:val="en-US"/>
          <w14:textFill>
            <w14:solidFill>
              <w14:schemeClr w14:val="tx1"/>
            </w14:solidFill>
          </w14:textFill>
        </w:rPr>
        <w:t>，参赛过程中，参赛团队如需本单位提供与项目相关的其他必须帮助，请提前与赛事办公室联系，我们将在许可范围内给予参赛团队帮助。</w:t>
      </w:r>
    </w:p>
    <w:p>
      <w:pPr>
        <w:pStyle w:val="3"/>
        <w:ind w:firstLine="640"/>
        <w:jc w:val="both"/>
        <w:rPr>
          <w:rFonts w:hint="eastAsia"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设奖情况及奖励措施</w:t>
      </w:r>
    </w:p>
    <w:p>
      <w:pPr>
        <w:pStyle w:val="4"/>
        <w:numPr>
          <w:ilvl w:val="0"/>
          <w:numId w:val="5"/>
        </w:numPr>
        <w:ind w:left="0" w:firstLine="640" w:firstLineChars="200"/>
        <w:jc w:val="both"/>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设奖情况</w:t>
      </w:r>
    </w:p>
    <w:p>
      <w:pPr>
        <w:spacing w:line="560" w:lineRule="exact"/>
        <w:ind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原则上设特等奖5个，一</w:t>
      </w:r>
      <w:r>
        <w:rPr>
          <w:rFonts w:hint="eastAsia" w:eastAsia="方正仿宋_GBK"/>
          <w:color w:val="000000" w:themeColor="text1"/>
          <w:spacing w:val="0"/>
          <w:sz w:val="32"/>
          <w:szCs w:val="32"/>
          <w:lang w:val="en-US" w:eastAsia="zh-CN"/>
          <w14:textFill>
            <w14:solidFill>
              <w14:schemeClr w14:val="tx1"/>
            </w14:solidFill>
          </w14:textFill>
        </w:rPr>
        <w:t>等奖5个，二等奖5个，三等奖5个</w:t>
      </w:r>
      <w:r>
        <w:rPr>
          <w:rFonts w:eastAsia="方正仿宋_GBK"/>
          <w:color w:val="000000" w:themeColor="text1"/>
          <w:spacing w:val="0"/>
          <w:sz w:val="32"/>
          <w:szCs w:val="32"/>
          <w:lang w:val="en-US"/>
          <w14:textFill>
            <w14:solidFill>
              <w14:schemeClr w14:val="tx1"/>
            </w14:solidFill>
          </w14:textFill>
        </w:rPr>
        <w:t>，从特等奖获奖团队中决出1个</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eastAsia="zh-CN"/>
          <w14:textFill>
            <w14:solidFill>
              <w14:schemeClr w14:val="tx1"/>
            </w14:solidFill>
          </w14:textFill>
        </w:rPr>
        <w:t>。</w:t>
      </w:r>
    </w:p>
    <w:p>
      <w:pPr>
        <w:pStyle w:val="4"/>
        <w:numPr>
          <w:ilvl w:val="0"/>
          <w:numId w:val="5"/>
        </w:numPr>
        <w:ind w:left="0" w:firstLine="640" w:firstLineChars="200"/>
        <w:jc w:val="both"/>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奖励措施</w:t>
      </w:r>
    </w:p>
    <w:p>
      <w:pPr>
        <w:numPr>
          <w:ilvl w:val="0"/>
          <w:numId w:val="6"/>
        </w:numPr>
        <w:spacing w:line="560" w:lineRule="exact"/>
        <w:ind w:firstLine="640" w:firstLineChars="200"/>
        <w:jc w:val="both"/>
        <w:rPr>
          <w:rFonts w:hint="eastAsia"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“擂主”15000元</w:t>
      </w:r>
      <w:r>
        <w:rPr>
          <w:rFonts w:hint="eastAsia" w:eastAsia="方正仿宋_GBK"/>
          <w:color w:val="000000" w:themeColor="text1"/>
          <w:spacing w:val="0"/>
          <w:sz w:val="32"/>
          <w:szCs w:val="32"/>
          <w:lang w:val="en-US" w:eastAsia="zh-CN"/>
          <w14:textFill>
            <w14:solidFill>
              <w14:schemeClr w14:val="tx1"/>
            </w14:solidFill>
          </w14:textFill>
        </w:rPr>
        <w:t>；</w:t>
      </w:r>
    </w:p>
    <w:p>
      <w:pPr>
        <w:numPr>
          <w:ilvl w:val="0"/>
          <w:numId w:val="6"/>
        </w:numPr>
        <w:spacing w:line="560" w:lineRule="exact"/>
        <w:ind w:firstLine="640" w:firstLineChars="200"/>
        <w:jc w:val="both"/>
        <w:rPr>
          <w:rFonts w:hint="eastAsia"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特等奖</w:t>
      </w:r>
      <w:r>
        <w:rPr>
          <w:rFonts w:hint="eastAsia" w:eastAsia="方正仿宋_GBK"/>
          <w:color w:val="000000" w:themeColor="text1"/>
          <w:spacing w:val="0"/>
          <w:sz w:val="32"/>
          <w:szCs w:val="32"/>
          <w:lang w:val="en-US" w:eastAsia="zh-CN"/>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000元</w:t>
      </w:r>
      <w:r>
        <w:rPr>
          <w:rFonts w:hint="eastAsia" w:eastAsia="方正仿宋_GBK"/>
          <w:color w:val="000000" w:themeColor="text1"/>
          <w:spacing w:val="0"/>
          <w:sz w:val="32"/>
          <w:szCs w:val="32"/>
          <w:lang w:val="en-US" w:eastAsia="zh-CN"/>
          <w14:textFill>
            <w14:solidFill>
              <w14:schemeClr w14:val="tx1"/>
            </w14:solidFill>
          </w14:textFill>
        </w:rPr>
        <w:t>/个（不含“擂主”）；</w:t>
      </w:r>
    </w:p>
    <w:p>
      <w:pPr>
        <w:numPr>
          <w:ilvl w:val="0"/>
          <w:numId w:val="6"/>
        </w:numPr>
        <w:spacing w:line="560" w:lineRule="exact"/>
        <w:ind w:firstLine="640" w:firstLineChars="200"/>
        <w:jc w:val="both"/>
        <w:rPr>
          <w:rFonts w:hint="eastAsia"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一等奖</w:t>
      </w:r>
      <w:r>
        <w:rPr>
          <w:rFonts w:hint="eastAsia" w:eastAsia="方正仿宋_GBK"/>
          <w:color w:val="000000" w:themeColor="text1"/>
          <w:spacing w:val="0"/>
          <w:sz w:val="32"/>
          <w:szCs w:val="32"/>
          <w:lang w:val="en-US" w:eastAsia="zh-CN"/>
          <w14:textFill>
            <w14:solidFill>
              <w14:schemeClr w14:val="tx1"/>
            </w14:solidFill>
          </w14:textFill>
        </w:rPr>
        <w:t>5</w:t>
      </w:r>
      <w:r>
        <w:rPr>
          <w:rFonts w:hint="eastAsia" w:eastAsia="方正仿宋_GBK"/>
          <w:color w:val="000000" w:themeColor="text1"/>
          <w:spacing w:val="0"/>
          <w:sz w:val="32"/>
          <w:szCs w:val="32"/>
          <w:lang w:val="en-US"/>
          <w14:textFill>
            <w14:solidFill>
              <w14:schemeClr w14:val="tx1"/>
            </w14:solidFill>
          </w14:textFill>
        </w:rPr>
        <w:t>000元</w:t>
      </w:r>
      <w:r>
        <w:rPr>
          <w:rFonts w:hint="eastAsia" w:eastAsia="方正仿宋_GBK"/>
          <w:color w:val="000000" w:themeColor="text1"/>
          <w:spacing w:val="0"/>
          <w:sz w:val="32"/>
          <w:szCs w:val="32"/>
          <w:lang w:val="en-US" w:eastAsia="zh-CN"/>
          <w14:textFill>
            <w14:solidFill>
              <w14:schemeClr w14:val="tx1"/>
            </w14:solidFill>
          </w14:textFill>
        </w:rPr>
        <w:t>/个；</w:t>
      </w:r>
    </w:p>
    <w:p>
      <w:pPr>
        <w:numPr>
          <w:ilvl w:val="0"/>
          <w:numId w:val="6"/>
        </w:numPr>
        <w:spacing w:line="560" w:lineRule="exact"/>
        <w:ind w:firstLine="640" w:firstLineChars="200"/>
        <w:jc w:val="both"/>
        <w:rPr>
          <w:rFonts w:hint="eastAsia"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二等奖</w:t>
      </w:r>
      <w:r>
        <w:rPr>
          <w:rFonts w:hint="eastAsia" w:eastAsia="方正仿宋_GBK"/>
          <w:color w:val="000000" w:themeColor="text1"/>
          <w:spacing w:val="0"/>
          <w:sz w:val="32"/>
          <w:szCs w:val="32"/>
          <w:lang w:val="en-US" w:eastAsia="zh-CN"/>
          <w14:textFill>
            <w14:solidFill>
              <w14:schemeClr w14:val="tx1"/>
            </w14:solidFill>
          </w14:textFill>
        </w:rPr>
        <w:t>4</w:t>
      </w:r>
      <w:r>
        <w:rPr>
          <w:rFonts w:hint="eastAsia" w:eastAsia="方正仿宋_GBK"/>
          <w:color w:val="000000" w:themeColor="text1"/>
          <w:spacing w:val="0"/>
          <w:sz w:val="32"/>
          <w:szCs w:val="32"/>
          <w:lang w:val="en-US"/>
          <w14:textFill>
            <w14:solidFill>
              <w14:schemeClr w14:val="tx1"/>
            </w14:solidFill>
          </w14:textFill>
        </w:rPr>
        <w:t>000元</w:t>
      </w:r>
      <w:r>
        <w:rPr>
          <w:rFonts w:hint="eastAsia" w:eastAsia="方正仿宋_GBK"/>
          <w:color w:val="000000" w:themeColor="text1"/>
          <w:spacing w:val="0"/>
          <w:sz w:val="32"/>
          <w:szCs w:val="32"/>
          <w:lang w:val="en-US" w:eastAsia="zh-CN"/>
          <w14:textFill>
            <w14:solidFill>
              <w14:schemeClr w14:val="tx1"/>
            </w14:solidFill>
          </w14:textFill>
        </w:rPr>
        <w:t>/个</w:t>
      </w:r>
      <w:r>
        <w:rPr>
          <w:rFonts w:hint="eastAsia" w:eastAsia="方正仿宋_GBK"/>
          <w:color w:val="000000" w:themeColor="text1"/>
          <w:spacing w:val="0"/>
          <w:sz w:val="32"/>
          <w:szCs w:val="32"/>
          <w:lang w:val="en-US"/>
          <w14:textFill>
            <w14:solidFill>
              <w14:schemeClr w14:val="tx1"/>
            </w14:solidFill>
          </w14:textFill>
        </w:rPr>
        <w:t>；</w:t>
      </w:r>
    </w:p>
    <w:p>
      <w:pPr>
        <w:numPr>
          <w:ilvl w:val="0"/>
          <w:numId w:val="6"/>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三等奖</w:t>
      </w:r>
      <w:r>
        <w:rPr>
          <w:rFonts w:hint="eastAsia" w:eastAsia="方正仿宋_GBK"/>
          <w:color w:val="000000" w:themeColor="text1"/>
          <w:spacing w:val="0"/>
          <w:sz w:val="32"/>
          <w:szCs w:val="32"/>
          <w:lang w:val="en-US" w:eastAsia="zh-CN"/>
          <w14:textFill>
            <w14:solidFill>
              <w14:schemeClr w14:val="tx1"/>
            </w14:solidFill>
          </w14:textFill>
        </w:rPr>
        <w:t>3</w:t>
      </w:r>
      <w:r>
        <w:rPr>
          <w:rFonts w:hint="eastAsia" w:eastAsia="方正仿宋_GBK"/>
          <w:color w:val="000000" w:themeColor="text1"/>
          <w:spacing w:val="0"/>
          <w:sz w:val="32"/>
          <w:szCs w:val="32"/>
          <w:lang w:val="en-US"/>
          <w14:textFill>
            <w14:solidFill>
              <w14:schemeClr w14:val="tx1"/>
            </w14:solidFill>
          </w14:textFill>
        </w:rPr>
        <w:t>000元</w:t>
      </w:r>
      <w:r>
        <w:rPr>
          <w:rFonts w:hint="eastAsia" w:eastAsia="方正仿宋_GBK"/>
          <w:color w:val="000000" w:themeColor="text1"/>
          <w:spacing w:val="0"/>
          <w:sz w:val="32"/>
          <w:szCs w:val="32"/>
          <w:lang w:val="en-US" w:eastAsia="zh-CN"/>
          <w14:textFill>
            <w14:solidFill>
              <w14:schemeClr w14:val="tx1"/>
            </w14:solidFill>
          </w14:textFill>
        </w:rPr>
        <w:t>/个</w:t>
      </w:r>
      <w:r>
        <w:rPr>
          <w:rFonts w:eastAsia="方正仿宋_GBK"/>
          <w:color w:val="000000" w:themeColor="text1"/>
          <w:spacing w:val="0"/>
          <w:sz w:val="32"/>
          <w:szCs w:val="32"/>
          <w:lang w:val="en-US"/>
          <w14:textFill>
            <w14:solidFill>
              <w14:schemeClr w14:val="tx1"/>
            </w14:solidFill>
          </w14:textFill>
        </w:rPr>
        <w:t>。</w:t>
      </w:r>
    </w:p>
    <w:p>
      <w:pPr>
        <w:numPr>
          <w:ilvl w:val="0"/>
          <w:numId w:val="6"/>
        </w:num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获奖团队成员</w:t>
      </w:r>
      <w:r>
        <w:rPr>
          <w:rFonts w:hint="eastAsia" w:eastAsia="方正仿宋_GBK"/>
          <w:color w:val="000000" w:themeColor="text1"/>
          <w:spacing w:val="0"/>
          <w:sz w:val="32"/>
          <w:szCs w:val="32"/>
          <w:lang w:val="en-US" w:eastAsia="zh-CN"/>
          <w14:textFill>
            <w14:solidFill>
              <w14:schemeClr w14:val="tx1"/>
            </w14:solidFill>
          </w14:textFill>
        </w:rPr>
        <w:t>可直接到本单位国家企业技术中心工作</w:t>
      </w:r>
      <w:r>
        <w:rPr>
          <w:rFonts w:eastAsia="方正仿宋_GBK"/>
          <w:color w:val="000000" w:themeColor="text1"/>
          <w:spacing w:val="0"/>
          <w:sz w:val="32"/>
          <w:szCs w:val="32"/>
          <w:lang w:val="en-US"/>
          <w14:textFill>
            <w14:solidFill>
              <w14:schemeClr w14:val="tx1"/>
            </w14:solidFill>
          </w14:textFill>
        </w:rPr>
        <w:t>。</w:t>
      </w:r>
    </w:p>
    <w:p>
      <w:pPr>
        <w:pStyle w:val="4"/>
        <w:numPr>
          <w:ilvl w:val="0"/>
          <w:numId w:val="5"/>
        </w:numPr>
        <w:ind w:left="0" w:firstLine="640" w:firstLineChars="200"/>
        <w:jc w:val="both"/>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奖金发放方式</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所有现金奖励将在比赛结束后1个季度内，通过银行转账的方式，发放至各获奖团队指定的账号。</w:t>
      </w:r>
    </w:p>
    <w:p>
      <w:pPr>
        <w:pStyle w:val="3"/>
        <w:ind w:firstLine="640"/>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比赛专班联系方式</w:t>
      </w:r>
    </w:p>
    <w:p>
      <w:pPr>
        <w:pStyle w:val="4"/>
        <w:numPr>
          <w:ilvl w:val="0"/>
          <w:numId w:val="7"/>
        </w:numPr>
        <w:ind w:left="0" w:firstLine="640" w:firstLineChars="200"/>
        <w:jc w:val="both"/>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专家指导团队</w:t>
      </w:r>
    </w:p>
    <w:p>
      <w:pPr>
        <w:spacing w:line="560" w:lineRule="exact"/>
        <w:ind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w:t>
      </w:r>
      <w:r>
        <w:rPr>
          <w:rFonts w:hint="eastAsia" w:eastAsia="方正仿宋_GBK"/>
          <w:color w:val="000000" w:themeColor="text1"/>
          <w:spacing w:val="0"/>
          <w:sz w:val="32"/>
          <w:szCs w:val="32"/>
          <w:lang w:val="en-US" w:eastAsia="zh-CN"/>
          <w14:textFill>
            <w14:solidFill>
              <w14:schemeClr w14:val="tx1"/>
            </w14:solidFill>
          </w14:textFill>
        </w:rPr>
        <w:t>苏发强</w:t>
      </w:r>
      <w:r>
        <w:rPr>
          <w:rFonts w:eastAsia="方正仿宋_GBK"/>
          <w:color w:val="000000" w:themeColor="text1"/>
          <w:spacing w:val="0"/>
          <w:sz w:val="32"/>
          <w:szCs w:val="32"/>
          <w:lang w:val="en-US"/>
          <w14:textFill>
            <w14:solidFill>
              <w14:schemeClr w14:val="tx1"/>
            </w14:solidFill>
          </w14:textFill>
        </w:rPr>
        <w:t>，联系方式：</w:t>
      </w:r>
      <w:r>
        <w:rPr>
          <w:rFonts w:hint="eastAsia" w:eastAsia="方正仿宋_GBK"/>
          <w:color w:val="000000" w:themeColor="text1"/>
          <w:spacing w:val="0"/>
          <w:sz w:val="32"/>
          <w:szCs w:val="32"/>
          <w:lang w:val="en-US" w:eastAsia="zh-CN"/>
          <w14:textFill>
            <w14:solidFill>
              <w14:schemeClr w14:val="tx1"/>
            </w14:solidFill>
          </w14:textFill>
        </w:rPr>
        <w:t>0477-2285570/18152499563；</w:t>
      </w:r>
    </w:p>
    <w:p>
      <w:pPr>
        <w:spacing w:line="560" w:lineRule="exact"/>
        <w:ind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指导专家</w:t>
      </w:r>
      <w:r>
        <w:rPr>
          <w:rFonts w:hint="eastAsia" w:eastAsia="方正仿宋_GBK"/>
          <w:color w:val="000000" w:themeColor="text1"/>
          <w:spacing w:val="0"/>
          <w:sz w:val="32"/>
          <w:szCs w:val="32"/>
          <w:lang w:val="en-US" w:eastAsia="zh-CN"/>
          <w14:textFill>
            <w14:solidFill>
              <w14:schemeClr w14:val="tx1"/>
            </w14:solidFill>
          </w14:textFill>
        </w:rPr>
        <w:t>1</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eastAsia="zh-CN"/>
          <w14:textFill>
            <w14:solidFill>
              <w14:schemeClr w14:val="tx1"/>
            </w14:solidFill>
          </w14:textFill>
        </w:rPr>
        <w:t>代元元，</w:t>
      </w:r>
      <w:r>
        <w:rPr>
          <w:rFonts w:eastAsia="方正仿宋_GBK"/>
          <w:color w:val="000000" w:themeColor="text1"/>
          <w:spacing w:val="0"/>
          <w:sz w:val="32"/>
          <w:szCs w:val="32"/>
          <w:lang w:val="en-US"/>
          <w14:textFill>
            <w14:solidFill>
              <w14:schemeClr w14:val="tx1"/>
            </w14:solidFill>
          </w14:textFill>
        </w:rPr>
        <w:t>联系方式：</w:t>
      </w:r>
      <w:r>
        <w:rPr>
          <w:rFonts w:hint="eastAsia" w:eastAsia="方正仿宋_GBK"/>
          <w:color w:val="000000" w:themeColor="text1"/>
          <w:spacing w:val="0"/>
          <w:sz w:val="32"/>
          <w:szCs w:val="32"/>
          <w:lang w:val="en-US" w:eastAsia="zh-CN"/>
          <w14:textFill>
            <w14:solidFill>
              <w14:schemeClr w14:val="tx1"/>
            </w14:solidFill>
          </w14:textFill>
        </w:rPr>
        <w:t>0477-2285570/13020112085；</w:t>
      </w:r>
    </w:p>
    <w:p>
      <w:pPr>
        <w:spacing w:line="560" w:lineRule="exact"/>
        <w:ind w:firstLine="640" w:firstLineChars="200"/>
        <w:jc w:val="both"/>
        <w:rPr>
          <w:rFonts w:hint="eastAsia" w:eastAsia="方正仿宋_GBK"/>
          <w:color w:val="000000" w:themeColor="text1"/>
          <w:spacing w:val="0"/>
          <w:sz w:val="32"/>
          <w:szCs w:val="32"/>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指导专家</w:t>
      </w:r>
      <w:r>
        <w:rPr>
          <w:rFonts w:hint="eastAsia" w:eastAsia="方正仿宋_GBK"/>
          <w:color w:val="000000" w:themeColor="text1"/>
          <w:spacing w:val="0"/>
          <w:sz w:val="32"/>
          <w:szCs w:val="32"/>
          <w:lang w:val="en-US" w:eastAsia="zh-CN"/>
          <w14:textFill>
            <w14:solidFill>
              <w14:schemeClr w14:val="tx1"/>
            </w14:solidFill>
          </w14:textFill>
        </w:rPr>
        <w:t>2</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eastAsia="zh-CN"/>
          <w14:textFill>
            <w14:solidFill>
              <w14:schemeClr w14:val="tx1"/>
            </w14:solidFill>
          </w14:textFill>
        </w:rPr>
        <w:t>薛大香，</w:t>
      </w:r>
      <w:r>
        <w:rPr>
          <w:rFonts w:eastAsia="方正仿宋_GBK"/>
          <w:color w:val="000000" w:themeColor="text1"/>
          <w:spacing w:val="0"/>
          <w:sz w:val="32"/>
          <w:szCs w:val="32"/>
          <w:lang w:val="en-US"/>
          <w14:textFill>
            <w14:solidFill>
              <w14:schemeClr w14:val="tx1"/>
            </w14:solidFill>
          </w14:textFill>
        </w:rPr>
        <w:t>联系方式：</w:t>
      </w:r>
      <w:r>
        <w:rPr>
          <w:rFonts w:hint="eastAsia" w:eastAsia="方正仿宋_GBK"/>
          <w:color w:val="000000" w:themeColor="text1"/>
          <w:spacing w:val="0"/>
          <w:sz w:val="32"/>
          <w:szCs w:val="32"/>
          <w:lang w:val="en-US" w:eastAsia="zh-CN"/>
          <w14:textFill>
            <w14:solidFill>
              <w14:schemeClr w14:val="tx1"/>
            </w14:solidFill>
          </w14:textFill>
        </w:rPr>
        <w:t>0477-2285570/15151807530；</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负责比赛进行期间技术指导保障。</w:t>
      </w:r>
    </w:p>
    <w:p>
      <w:pPr>
        <w:pStyle w:val="4"/>
        <w:numPr>
          <w:ilvl w:val="0"/>
          <w:numId w:val="7"/>
        </w:numPr>
        <w:ind w:left="0" w:firstLine="640" w:firstLineChars="200"/>
        <w:jc w:val="both"/>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赛事服务团队</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w:t>
      </w:r>
      <w:r>
        <w:rPr>
          <w:rFonts w:hint="eastAsia" w:eastAsia="方正仿宋_GBK"/>
          <w:color w:val="000000" w:themeColor="text1"/>
          <w:spacing w:val="0"/>
          <w:sz w:val="32"/>
          <w:szCs w:val="32"/>
          <w:lang w:val="en-US" w:eastAsia="zh-CN"/>
          <w14:textFill>
            <w14:solidFill>
              <w14:schemeClr w14:val="tx1"/>
            </w14:solidFill>
          </w14:textFill>
        </w:rPr>
        <w:t>代老师</w:t>
      </w:r>
      <w:r>
        <w:rPr>
          <w:rFonts w:eastAsia="方正仿宋_GBK"/>
          <w:color w:val="000000" w:themeColor="text1"/>
          <w:spacing w:val="0"/>
          <w:sz w:val="32"/>
          <w:szCs w:val="32"/>
          <w:lang w:val="en-US"/>
          <w14:textFill>
            <w14:solidFill>
              <w14:schemeClr w14:val="tx1"/>
            </w14:solidFill>
          </w14:textFill>
        </w:rPr>
        <w:t>，联系方式：</w:t>
      </w:r>
      <w:r>
        <w:rPr>
          <w:rFonts w:hint="eastAsia" w:eastAsia="方正仿宋_GBK"/>
          <w:color w:val="000000" w:themeColor="text1"/>
          <w:spacing w:val="0"/>
          <w:sz w:val="32"/>
          <w:szCs w:val="32"/>
          <w:lang w:val="en-US"/>
          <w14:textFill>
            <w14:solidFill>
              <w14:schemeClr w14:val="tx1"/>
            </w14:solidFill>
          </w14:textFill>
        </w:rPr>
        <w:t>0477-2285570/13020112085</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负责比赛进行期间组织服务及后期相关赛务协调联络。</w:t>
      </w:r>
    </w:p>
    <w:p>
      <w:pPr>
        <w:pStyle w:val="4"/>
        <w:numPr>
          <w:ilvl w:val="0"/>
          <w:numId w:val="7"/>
        </w:numPr>
        <w:ind w:left="0" w:firstLine="640" w:firstLineChars="200"/>
        <w:jc w:val="both"/>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联系时间</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比赛进行期间工作日（8:30-11:30，14:00-17:30）</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pStyle w:val="3"/>
        <w:numPr>
          <w:ilvl w:val="255"/>
          <w:numId w:val="0"/>
        </w:numPr>
        <w:jc w:val="right"/>
        <w:rPr>
          <w:rFonts w:eastAsia="方正黑体_GBK"/>
          <w:color w:val="000000" w:themeColor="text1"/>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内蒙古鄂尔多斯电力冶金集团股份有限公司</w:t>
      </w:r>
    </w:p>
    <w:p>
      <w:pPr>
        <w:spacing w:line="560" w:lineRule="exact"/>
        <w:ind w:firstLine="640" w:firstLineChars="200"/>
        <w:jc w:val="both"/>
        <w:rPr>
          <w:rFonts w:eastAsia="方正仿宋_GBK"/>
          <w:color w:val="000000" w:themeColor="text1"/>
          <w:sz w:val="32"/>
          <w:szCs w:val="32"/>
          <w14:textFill>
            <w14:solidFill>
              <w14:schemeClr w14:val="tx1"/>
            </w14:solidFill>
          </w14:textFill>
        </w:rPr>
      </w:pPr>
    </w:p>
    <w:p>
      <w:pPr>
        <w:jc w:val="both"/>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pageBreakBefore w:val="0"/>
        <w:widowControl/>
        <w:numPr>
          <w:ilvl w:val="255"/>
          <w:numId w:val="0"/>
        </w:numPr>
        <w:kinsoku/>
        <w:wordWrap w:val="0"/>
        <w:overflowPunct/>
        <w:topLinePunct w:val="0"/>
        <w:autoSpaceDE/>
        <w:autoSpaceDN/>
        <w:bidi w:val="0"/>
        <w:adjustRightInd/>
        <w:snapToGrid/>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pageBreakBefore w:val="0"/>
        <w:widowControl/>
        <w:kinsoku/>
        <w:wordWrap w:val="0"/>
        <w:overflowPunct/>
        <w:topLinePunct w:val="0"/>
        <w:autoSpaceDE/>
        <w:autoSpaceDN/>
        <w:bidi w:val="0"/>
        <w:adjustRightInd/>
        <w:snapToGrid/>
        <w:spacing w:line="560" w:lineRule="exact"/>
        <w:ind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内蒙古鄂尔多斯电力冶金集团股份有限公司成立于2003年，位于鄂托克经济开发区</w:t>
      </w:r>
      <w:r>
        <w:rPr>
          <w:rFonts w:hint="eastAsia" w:eastAsia="方正仿宋_GBK"/>
          <w:color w:val="000000" w:themeColor="text1"/>
          <w:sz w:val="32"/>
          <w:szCs w:val="32"/>
          <w:lang w:val="en-US" w:eastAsia="zh-CN"/>
          <w14:textFill>
            <w14:solidFill>
              <w14:schemeClr w14:val="tx1"/>
            </w14:solidFill>
          </w14:textFill>
        </w:rPr>
        <w:t>，公司</w:t>
      </w:r>
      <w:r>
        <w:rPr>
          <w:rFonts w:hint="eastAsia" w:eastAsia="方正仿宋_GBK"/>
          <w:color w:val="000000" w:themeColor="text1"/>
          <w:sz w:val="32"/>
          <w:szCs w:val="32"/>
          <w:lang w:val="en-US"/>
          <w14:textFill>
            <w14:solidFill>
              <w14:schemeClr w14:val="tx1"/>
            </w14:solidFill>
          </w14:textFill>
        </w:rPr>
        <w:t>累计完成投资600亿元，在节能环保减碳方面投资已超过</w:t>
      </w:r>
      <w:r>
        <w:rPr>
          <w:rFonts w:hint="eastAsia" w:eastAsia="方正仿宋_GBK"/>
          <w:color w:val="000000" w:themeColor="text1"/>
          <w:sz w:val="32"/>
          <w:szCs w:val="32"/>
          <w:lang w:val="en-US" w:eastAsia="zh-CN"/>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0亿元</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年产值400亿元，累计纳税超过</w:t>
      </w:r>
      <w:r>
        <w:rPr>
          <w:rFonts w:hint="eastAsia" w:eastAsia="方正仿宋_GBK"/>
          <w:color w:val="000000" w:themeColor="text1"/>
          <w:sz w:val="32"/>
          <w:szCs w:val="32"/>
          <w:lang w:val="en-US" w:eastAsia="zh-CN"/>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00亿元。被认定为国家级“资源节约型、环境友好型”试点企业、国家级“高新技术企业”，是内蒙古自治区“循环经济示范企业”，中国电石工业协会会长单位，中国铁合金工业协会会长单位。</w:t>
      </w:r>
    </w:p>
    <w:p>
      <w:pPr>
        <w:pageBreakBefore w:val="0"/>
        <w:widowControl/>
        <w:kinsoku/>
        <w:wordWrap w:val="0"/>
        <w:overflowPunct/>
        <w:topLinePunct w:val="0"/>
        <w:autoSpaceDE/>
        <w:autoSpaceDN/>
        <w:bidi w:val="0"/>
        <w:adjustRightInd/>
        <w:snapToGrid/>
        <w:spacing w:line="560" w:lineRule="exact"/>
        <w:ind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在产业结构上，电冶集团致力于打造多能互补新型能源-低碳/高附加值硅基合金-化工先进功能材料-清洁环保”的循环经济产业链，在全国具有独特的产业特点，形成上下游产品有序链接、资源循环转化增值的发展模式，在多个领域均处于行业领先地位，各类产品年产销量超过1000万吨，远销日韩、欧美、中东、东南亚等20多个国家和地区。</w:t>
      </w:r>
    </w:p>
    <w:p>
      <w:pPr>
        <w:pageBreakBefore w:val="0"/>
        <w:widowControl/>
        <w:kinsoku/>
        <w:wordWrap w:val="0"/>
        <w:overflowPunct/>
        <w:topLinePunct w:val="0"/>
        <w:autoSpaceDE/>
        <w:autoSpaceDN/>
        <w:bidi w:val="0"/>
        <w:adjustRightInd/>
        <w:snapToGrid/>
        <w:spacing w:line="560" w:lineRule="exact"/>
        <w:ind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目前，电冶集团已拥有国家级企业技术中心、国家级技术创新示范企业、全国博士后科研工作站、国家知识产权优势企业、国家CNAS实验室、全国铁合金国家标准研发工作站等国家</w:t>
      </w:r>
      <w:r>
        <w:rPr>
          <w:rFonts w:hint="eastAsia" w:eastAsia="方正仿宋_GBK"/>
          <w:color w:val="000000" w:themeColor="text1"/>
          <w:sz w:val="32"/>
          <w:szCs w:val="32"/>
          <w:lang w:val="en-US" w:eastAsia="zh-CN"/>
          <w14:textFill>
            <w14:solidFill>
              <w14:schemeClr w14:val="tx1"/>
            </w14:solidFill>
          </w14:textFill>
        </w:rPr>
        <w:t>和省部级</w:t>
      </w:r>
      <w:r>
        <w:rPr>
          <w:rFonts w:hint="eastAsia" w:eastAsia="方正仿宋_GBK"/>
          <w:color w:val="000000" w:themeColor="text1"/>
          <w:sz w:val="32"/>
          <w:szCs w:val="32"/>
          <w:lang w:val="en-US"/>
          <w14:textFill>
            <w14:solidFill>
              <w14:schemeClr w14:val="tx1"/>
            </w14:solidFill>
          </w14:textFill>
        </w:rPr>
        <w:t>技术平台资质38</w:t>
      </w:r>
      <w:r>
        <w:rPr>
          <w:rFonts w:hint="eastAsia" w:eastAsia="方正仿宋_GBK"/>
          <w:color w:val="000000" w:themeColor="text1"/>
          <w:sz w:val="32"/>
          <w:szCs w:val="32"/>
          <w:lang w:val="en-US" w:eastAsia="zh-CN"/>
          <w14:textFill>
            <w14:solidFill>
              <w14:schemeClr w14:val="tx1"/>
            </w14:solidFill>
          </w14:textFill>
        </w:rPr>
        <w:t>个</w:t>
      </w:r>
      <w:r>
        <w:rPr>
          <w:rFonts w:hint="eastAsia" w:eastAsia="方正仿宋_GBK"/>
          <w:color w:val="000000" w:themeColor="text1"/>
          <w:sz w:val="32"/>
          <w:szCs w:val="32"/>
          <w:lang w:val="en-US"/>
          <w14:textFill>
            <w14:solidFill>
              <w14:schemeClr w14:val="tx1"/>
            </w14:solidFill>
          </w14:textFill>
        </w:rPr>
        <w:t>。</w:t>
      </w:r>
    </w:p>
    <w:p>
      <w:pPr>
        <w:pageBreakBefore w:val="0"/>
        <w:widowControl/>
        <w:kinsoku/>
        <w:wordWrap w:val="0"/>
        <w:overflowPunct/>
        <w:topLinePunct w:val="0"/>
        <w:autoSpaceDE/>
        <w:autoSpaceDN/>
        <w:bidi w:val="0"/>
        <w:adjustRightInd/>
        <w:snapToGrid/>
        <w:spacing w:line="560" w:lineRule="exact"/>
        <w:ind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鄂尔多斯将继续秉承“集智、放胆、拓荒、创新”的企业精神</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扎实推进工业低碳绿色生产，企业经济效益和社会价值贡献并重，以高质量党建引领企业高质量发展，在可持续发展之路上全力以赴、行稳致远，践行“鄂尔多斯温暖全世界”的企业理想。</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2000000000000000000"/>
    <w:charset w:val="86"/>
    <w:family w:val="script"/>
    <w:pitch w:val="default"/>
    <w:sig w:usb0="A00002BF" w:usb1="38CF7CFA" w:usb2="00082016" w:usb3="00000000" w:csb0="00040001"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楷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8F7C"/>
    <w:multiLevelType w:val="singleLevel"/>
    <w:tmpl w:val="BE508F7C"/>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ascii="方正黑体_GBK" w:hAnsi="方正黑体_GBK" w:eastAsia="方正黑体_GBK" w:cs="方正黑体_GBK"/>
      </w:rPr>
    </w:lvl>
  </w:abstractNum>
  <w:abstractNum w:abstractNumId="2">
    <w:nsid w:val="0EB790B7"/>
    <w:multiLevelType w:val="singleLevel"/>
    <w:tmpl w:val="0EB790B7"/>
    <w:lvl w:ilvl="0" w:tentative="0">
      <w:start w:val="1"/>
      <w:numFmt w:val="decimal"/>
      <w:suff w:val="space"/>
      <w:lvlText w:val="%1."/>
      <w:lvlJc w:val="left"/>
    </w:lvl>
  </w:abstractNum>
  <w:abstractNum w:abstractNumId="3">
    <w:nsid w:val="1C0CFABB"/>
    <w:multiLevelType w:val="singleLevel"/>
    <w:tmpl w:val="1C0CFABB"/>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ascii="Times New Roman" w:hAnsi="Times New Roman" w:eastAsia="方正仿宋楷体" w:cs="Times New Roman"/>
        <w:sz w:val="32"/>
        <w:szCs w:val="32"/>
      </w:rPr>
    </w:lvl>
  </w:abstractNum>
  <w:num w:numId="1">
    <w:abstractNumId w:val="1"/>
  </w:num>
  <w:num w:numId="2">
    <w:abstractNumId w:val="4"/>
  </w:num>
  <w:num w:numId="3">
    <w:abstractNumId w:val="2"/>
  </w:num>
  <w:num w:numId="4">
    <w:abstractNumId w:val="3"/>
  </w:num>
  <w:num w:numId="5">
    <w:abstractNumId w:val="4"/>
    <w:lvlOverride w:ilvl="0">
      <w:startOverride w:val="1"/>
    </w:lvlOverride>
  </w:num>
  <w:num w:numId="6">
    <w:abstractNumId w:val="0"/>
  </w:num>
  <w:num w:numId="7">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9FD1B33"/>
    <w:rsid w:val="0A260073"/>
    <w:rsid w:val="0A8F7AAE"/>
    <w:rsid w:val="0AD671E5"/>
    <w:rsid w:val="0B0B35C4"/>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4548CE"/>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957226"/>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54C6200"/>
    <w:rsid w:val="2604714B"/>
    <w:rsid w:val="26420EB4"/>
    <w:rsid w:val="26680B0E"/>
    <w:rsid w:val="276607BD"/>
    <w:rsid w:val="27707807"/>
    <w:rsid w:val="277E3A4E"/>
    <w:rsid w:val="29095901"/>
    <w:rsid w:val="290F58EC"/>
    <w:rsid w:val="29712213"/>
    <w:rsid w:val="29D50DFD"/>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DF40BE4"/>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C902FE"/>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AE0B2E"/>
    <w:rsid w:val="59F3439B"/>
    <w:rsid w:val="5A0D30B4"/>
    <w:rsid w:val="5A2A3F59"/>
    <w:rsid w:val="5A483FF8"/>
    <w:rsid w:val="5AAB75B9"/>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1F18BD"/>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D7A4AAD"/>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5B8547E"/>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3237</Words>
  <Characters>3567</Characters>
  <Lines>36</Lines>
  <Paragraphs>10</Paragraphs>
  <TotalTime>0</TotalTime>
  <ScaleCrop>false</ScaleCrop>
  <LinksUpToDate>false</LinksUpToDate>
  <CharactersWithSpaces>3598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2024-04-17T00:42:52Z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