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w:t>
      </w:r>
      <w:bookmarkStart w:id="0" w:name="_GoBack"/>
      <w:bookmarkEnd w:id="0"/>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汽车工业产线的电磁安全可视化评估方法</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中汽研新能源汽车检验中心（天津）有限公司</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中汽研新能源汽车检验中心（天津）有限公司</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汽车工业产线的电磁安全可视化评估方法</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随着现代的工业化汽车生产过程汇总产线自动化程度的不断提高，各类用频用电设备的数量显著增加，空间中存在着大量的潜在电磁干扰源，其所形成的电磁环境日趋复杂。如果针对性地进行防护，上述电磁环境可能会影响设备的工作及互相之间的协作，严重时不仅会导致生产质量和生产效率下降，更会严重影响整条生产线的作业安全。</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本题目拟针对汽车工业产线的具体需求，邀请参赛者开展快速的电磁干扰源定位及可视化显示方法方面的研究，具体包括：</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 基于工业现场中的典型装置模型和对典型干扰源先验信息，利用电磁仿真计算的方法，建立干扰源与电磁环境的映射模型。</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 基于天线辐射、射线追踪等方法，构建深度学习等算法模型，从快速变换的电磁环境中实时、精准地定位干扰源的位置。</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 研究可视化显示方法，实现被测场景的电磁环境与电磁干扰源的实时动态显示。</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4. 针对某一具体的工业场景，基于其空间位置、几何形貌、材料属性等信息（主办方提供），进行电磁传播模型建模，并利用该模型验证所研发的电磁干扰源定位及可视化显示方法。</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每所学校选送参加专项赛的作品数量不设限制，但同一作品不得同时参加第十九届</w:t>
      </w:r>
      <w:r>
        <w:rPr>
          <w:rFonts w:hint="eastAsia" w:ascii="Times New Roman" w:hAnsi="Times New Roman" w:eastAsia="方正仿宋_GBK" w:cs="Times New Roman"/>
          <w:color w:val="000000" w:themeColor="text1"/>
          <w:spacing w:val="8"/>
          <w:sz w:val="32"/>
          <w:szCs w:val="32"/>
          <w:lang w:eastAsia="zh-CN"/>
          <w14:textFill>
            <w14:solidFill>
              <w14:schemeClr w14:val="tx1"/>
            </w14:solidFill>
          </w14:textFill>
        </w:rPr>
        <w:t>“</w:t>
      </w:r>
      <w:r>
        <w:rPr>
          <w:rFonts w:ascii="Times New Roman" w:hAnsi="Times New Roman" w:eastAsia="方正仿宋_GBK" w:cs="Times New Roman"/>
          <w:color w:val="000000" w:themeColor="text1"/>
          <w:spacing w:val="8"/>
          <w:sz w:val="32"/>
          <w:szCs w:val="32"/>
          <w14:textFill>
            <w14:solidFill>
              <w14:schemeClr w14:val="tx1"/>
            </w14:solidFill>
          </w14:textFill>
        </w:rPr>
        <w:t>挑战杯</w:t>
      </w:r>
      <w:r>
        <w:rPr>
          <w:rFonts w:hint="eastAsia" w:ascii="Times New Roman" w:hAnsi="Times New Roman" w:eastAsia="方正仿宋_GBK" w:cs="Times New Roman"/>
          <w:color w:val="000000" w:themeColor="text1"/>
          <w:spacing w:val="8"/>
          <w:sz w:val="32"/>
          <w:szCs w:val="32"/>
          <w:lang w:eastAsia="zh-CN"/>
          <w14:textFill>
            <w14:solidFill>
              <w14:schemeClr w14:val="tx1"/>
            </w14:solidFill>
          </w14:textFill>
        </w:rPr>
        <w:t>”</w:t>
      </w:r>
      <w:r>
        <w:rPr>
          <w:rFonts w:ascii="Times New Roman" w:hAnsi="Times New Roman" w:eastAsia="方正仿宋_GBK" w:cs="Times New Roman"/>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参赛作品均要求使用正版软件完成，最终作品的提交形式为研究报告和软件报告，具体包括：</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楷体_GBK" w:cs="Times New Roman"/>
          <w:color w:val="000000" w:themeColor="text1"/>
          <w:spacing w:val="8"/>
          <w:sz w:val="32"/>
          <w:szCs w:val="32"/>
          <w14:textFill>
            <w14:solidFill>
              <w14:schemeClr w14:val="tx1"/>
            </w14:solidFill>
          </w14:textFill>
        </w:rPr>
      </w:pPr>
      <w:r>
        <w:rPr>
          <w:rFonts w:ascii="Times New Roman" w:hAnsi="Times New Roman" w:eastAsia="方正楷体_GBK" w:cs="Times New Roman"/>
          <w:color w:val="000000" w:themeColor="text1"/>
          <w:spacing w:val="8"/>
          <w:sz w:val="32"/>
          <w:szCs w:val="32"/>
          <w14:textFill>
            <w14:solidFill>
              <w14:schemeClr w14:val="tx1"/>
            </w14:solidFill>
          </w14:textFill>
        </w:rPr>
        <w:t>1. 研究报告</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（1）国内外发展调研分析情况；</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（2）研究内容和拟采取的技术路线；</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（3）各模块的具体工程实现方法；</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（4）算法模型的设计图；</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（5）典型仿真/实验结果。</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楷体_GBK" w:cs="Times New Roman"/>
          <w:color w:val="000000" w:themeColor="text1"/>
          <w:spacing w:val="8"/>
          <w:sz w:val="32"/>
          <w:szCs w:val="32"/>
          <w14:textFill>
            <w14:solidFill>
              <w14:schemeClr w14:val="tx1"/>
            </w14:solidFill>
          </w14:textFill>
        </w:rPr>
      </w:pPr>
      <w:r>
        <w:rPr>
          <w:rFonts w:ascii="Times New Roman" w:hAnsi="Times New Roman" w:eastAsia="方正楷体_GBK" w:cs="Times New Roman"/>
          <w:color w:val="000000" w:themeColor="text1"/>
          <w:spacing w:val="8"/>
          <w:sz w:val="32"/>
          <w:szCs w:val="32"/>
          <w14:textFill>
            <w14:solidFill>
              <w14:schemeClr w14:val="tx1"/>
            </w14:solidFill>
          </w14:textFill>
        </w:rPr>
        <w:t>2. 软件报告</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（1）原始代码；</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（2）用户手册及使用说明；</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（3）性能验证方法及自测报告；</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（4）软件所使用的数据集。</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参赛者必须保证作品的原创性，杜绝一切抄袭或剽窃行为，所提交作品不得侵犯任何第三方的知识产权。</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发展现状调研清晰，研究思路合理，技术路线可行；</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作品具有完整性，涵盖题目中的一项或多项内容；</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文档等展示材料内容齐全、页面整洁、图标清晰、公式准确。</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sz w:val="32"/>
          <w:szCs w:val="32"/>
        </w:rPr>
      </w:pPr>
      <w:r>
        <w:rPr>
          <w:rFonts w:eastAsia="方正仿宋_GBK"/>
          <w:color w:val="000000"/>
          <w:sz w:val="32"/>
          <w:szCs w:val="32"/>
        </w:rPr>
        <w:t>初审采取材料函评的方式，评委针对文献调研情况（10分）、研究思路的合理性（10分）、技术方案的可行性（20分）、原始代码的可读性（10分）、程序的运行稳定性（10分）、干扰源识别的准确性（20分）、可视化显示（10分）、研究成果的整体创新性、逻辑性和展示效果（10分）进行打分，择优决定进入复赛阶段的队伍。</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sz w:val="32"/>
          <w:szCs w:val="32"/>
        </w:rPr>
      </w:pPr>
      <w:r>
        <w:rPr>
          <w:rFonts w:eastAsia="方正仿宋_GBK"/>
          <w:color w:val="000000"/>
          <w:sz w:val="32"/>
          <w:szCs w:val="32"/>
        </w:rPr>
        <w:t>终审阶段将邀请参赛队伍进行现场测试和现场答辩，按照顺序进入答辩环节，评委对参赛作品的创新性（10分）、功能实现完整性（30分）、功能指标实现（20分）、现场测试效果（20分）和对专家提问的回答情况（20分），进行打分，择优决定各奖项的获得队伍。</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 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月至2024年8月，各参赛团队开展科研攻关，并于8月1日前向组委会提交作品。</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 2024年8月，组委会和出题方共同开展初审，原则上评出特等奖5个，一等奖、二等奖、三等奖各等次奖项若干，并确定入围终审的晋级作品和团队。</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 2024年9月，晋级团队完善作品，冲刺攻关参加终审和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。终审环节原则上评出特等奖5个，一、二、三等</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奖若干。获得特等奖的团队晋级最终</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擂台赛</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，并进行现场展</w:t>
      </w:r>
      <w:r>
        <w:rPr>
          <w:rFonts w:eastAsia="方正仿宋_GBK"/>
          <w:color w:val="000000" w:themeColor="text1"/>
          <w:sz w:val="32"/>
          <w:szCs w:val="32"/>
          <w:lang w:val="en-US"/>
          <w14:textFill>
            <w14:solidFill>
              <w14:schemeClr w14:val="tx1"/>
            </w14:solidFill>
          </w14:textFill>
        </w:rPr>
        <w:t>示和答辩</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擂台赛</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环节对榜单的每个选题原则上评出1</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个</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擂主</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。出</w:t>
      </w:r>
      <w:r>
        <w:rPr>
          <w:rFonts w:eastAsia="方正仿宋_GBK"/>
          <w:color w:val="000000" w:themeColor="text1"/>
          <w:sz w:val="32"/>
          <w:szCs w:val="32"/>
          <w:lang w:val="en-US"/>
          <w14:textFill>
            <w14:solidFill>
              <w14:schemeClr w14:val="tx1"/>
            </w14:solidFill>
          </w14:textFill>
        </w:rPr>
        <w:t>题方</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与</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擂主</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团</w:t>
      </w:r>
      <w:r>
        <w:rPr>
          <w:rFonts w:eastAsia="方正仿宋_GBK"/>
          <w:color w:val="000000" w:themeColor="text1"/>
          <w:sz w:val="32"/>
          <w:szCs w:val="32"/>
          <w:lang w:val="en-US"/>
          <w14:textFill>
            <w14:solidFill>
              <w14:schemeClr w14:val="tx1"/>
            </w14:solidFill>
          </w14:textFill>
        </w:rPr>
        <w:t>队现场签约并给予奖励。</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z w:val="32"/>
          <w:szCs w:val="32"/>
          <w:lang w:val="en-US"/>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根据大赛整体时间安排并结合科研攻关的科学规律，8月1日前，各参赛团队</w:t>
      </w:r>
      <w:r>
        <w:rPr>
          <w:rFonts w:ascii="Times New Roman" w:hAnsi="Times New Roman" w:eastAsia="方正仿宋_GBK" w:cs="Times New Roman"/>
          <w:color w:val="000000" w:themeColor="text1"/>
          <w:sz w:val="32"/>
          <w:szCs w:val="32"/>
          <w:lang w:val="en-US"/>
          <w14:textFill>
            <w14:solidFill>
              <w14:schemeClr w14:val="tx1"/>
            </w14:solidFill>
          </w14:textFill>
        </w:rPr>
        <w:t>向组委会提交作品。</w:t>
      </w:r>
    </w:p>
    <w:p>
      <w:pPr>
        <w:pStyle w:val="17"/>
        <w:pageBreakBefore w:val="0"/>
        <w:kinsoku/>
        <w:wordWrap/>
        <w:overflowPunct/>
        <w:topLinePunct w:val="0"/>
        <w:autoSpaceDE/>
        <w:autoSpaceDN/>
        <w:bidi w:val="0"/>
        <w:adjustRightInd/>
        <w:snapToGrid/>
        <w:spacing w:line="560" w:lineRule="exact"/>
        <w:ind w:lef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firstLine="640" w:firstLineChars="200"/>
        <w:jc w:val="left"/>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17"/>
        <w:pageBreakBefore w:val="0"/>
        <w:kinsoku/>
        <w:wordWrap/>
        <w:overflowPunct/>
        <w:topLinePunct w:val="0"/>
        <w:autoSpaceDE/>
        <w:autoSpaceDN/>
        <w:bidi w:val="0"/>
        <w:adjustRightInd/>
        <w:snapToGrid/>
        <w:spacing w:line="560" w:lineRule="exact"/>
        <w:ind w:left="0" w:firstLine="640" w:firstLineChars="200"/>
        <w:textAlignment w:val="auto"/>
        <w:rPr>
          <w:rFonts w:eastAsia="方正楷体_GBK"/>
          <w:color w:val="000000" w:themeColor="text1"/>
          <w:sz w:val="32"/>
          <w:szCs w:val="32"/>
          <w14:textFill>
            <w14:solidFill>
              <w14:schemeClr w14:val="tx1"/>
            </w14:solidFill>
          </w14:textFill>
        </w:rPr>
      </w:pPr>
      <w:r>
        <w:rPr>
          <w:rFonts w:eastAsia="方正楷体_GBK"/>
          <w:color w:val="000000" w:themeColor="text1"/>
          <w:sz w:val="32"/>
          <w:szCs w:val="32"/>
          <w14:textFill>
            <w14:solidFill>
              <w14:schemeClr w14:val="tx1"/>
            </w14:solidFill>
          </w14:textFill>
        </w:rPr>
        <w:t>2. 具体作品提交方式</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bCs/>
          <w:color w:val="000000" w:themeColor="text1"/>
          <w:sz w:val="32"/>
          <w:szCs w:val="32"/>
          <w:lang w:val="en-US"/>
          <w14:textFill>
            <w14:solidFill>
              <w14:schemeClr w14:val="tx1"/>
            </w14:solidFill>
          </w14:textFill>
        </w:rPr>
      </w:pPr>
      <w:r>
        <w:rPr>
          <w:rFonts w:eastAsia="方正仿宋_GBK"/>
          <w:bCs/>
          <w:color w:val="000000" w:themeColor="text1"/>
          <w:sz w:val="32"/>
          <w:szCs w:val="32"/>
          <w:lang w:val="en-US"/>
          <w14:textFill>
            <w14:solidFill>
              <w14:schemeClr w14:val="tx1"/>
            </w14:solidFill>
          </w14:textFill>
        </w:rPr>
        <w:t>（1）电子版材料。</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需要同时提交WORD版和PDF版材料，其中PDF版须加盖公章。请将作品文档及报名表以压缩包格式上传至网站指定路径（https://challenge.dtxiaotangren.com）。</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（2）纸质版材料。</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bCs/>
          <w:sz w:val="32"/>
          <w:szCs w:val="32"/>
        </w:rPr>
      </w:pPr>
      <w:r>
        <w:rPr>
          <w:rFonts w:eastAsia="方正仿宋_GBK"/>
          <w:bCs/>
          <w:sz w:val="32"/>
          <w:szCs w:val="32"/>
        </w:rPr>
        <w:t>请将纸质版文档作品及</w:t>
      </w:r>
      <w:r>
        <w:rPr>
          <w:rFonts w:eastAsia="方正仿宋_GBK"/>
          <w:color w:val="000000" w:themeColor="text1"/>
          <w:sz w:val="32"/>
          <w:szCs w:val="32"/>
          <w14:textFill>
            <w14:solidFill>
              <w14:schemeClr w14:val="tx1"/>
            </w14:solidFill>
          </w14:textFill>
        </w:rPr>
        <w:t>报名系统中审核通过的参赛报名表</w:t>
      </w:r>
      <w:r>
        <w:rPr>
          <w:rFonts w:eastAsia="方正仿宋_GBK"/>
          <w:bCs/>
          <w:sz w:val="32"/>
          <w:szCs w:val="32"/>
        </w:rPr>
        <w:t>（均需加盖公章）一式两份邮寄</w:t>
      </w:r>
      <w:r>
        <w:rPr>
          <w:rFonts w:hint="eastAsia" w:eastAsia="方正仿宋_GBK"/>
          <w:bCs/>
          <w:sz w:val="32"/>
          <w:szCs w:val="32"/>
        </w:rPr>
        <w:t>天津市东丽区无瑕街雄姿道</w:t>
      </w:r>
      <w:r>
        <w:rPr>
          <w:rFonts w:eastAsia="方正仿宋_GBK"/>
          <w:bCs/>
          <w:sz w:val="32"/>
          <w:szCs w:val="32"/>
        </w:rPr>
        <w:t>88</w:t>
      </w:r>
      <w:r>
        <w:rPr>
          <w:rFonts w:hint="eastAsia" w:eastAsia="方正仿宋_GBK"/>
          <w:bCs/>
          <w:sz w:val="32"/>
          <w:szCs w:val="32"/>
        </w:rPr>
        <w:t>号</w:t>
      </w:r>
      <w:r>
        <w:rPr>
          <w:rFonts w:eastAsia="方正仿宋_GBK"/>
          <w:bCs/>
          <w:sz w:val="32"/>
          <w:szCs w:val="32"/>
        </w:rPr>
        <w:t>，</w:t>
      </w:r>
      <w:r>
        <w:rPr>
          <w:rFonts w:hint="eastAsia" w:eastAsia="方正仿宋_GBK"/>
          <w:bCs/>
          <w:sz w:val="32"/>
          <w:szCs w:val="32"/>
        </w:rPr>
        <w:t>张</w:t>
      </w:r>
      <w:r>
        <w:rPr>
          <w:rFonts w:eastAsia="方正仿宋_GBK"/>
          <w:bCs/>
          <w:sz w:val="32"/>
          <w:szCs w:val="32"/>
        </w:rPr>
        <w:t>老师收，联系方式15900332026。</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本单位在参赛团队完成相关审核等程序后可提供参观应用现场的机会。</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eastAsia="方正仿宋_GBK"/>
          <w:b w:val="0"/>
          <w:bCs w:val="0"/>
          <w:color w:val="000000" w:themeColor="text1"/>
          <w:sz w:val="32"/>
          <w:szCs w:val="32"/>
          <w:lang w:val="en-US"/>
          <w14:textFill>
            <w14:solidFill>
              <w14:schemeClr w14:val="tx1"/>
            </w14:solidFill>
          </w14:textFill>
        </w:rPr>
        <w:t>中汽研新能源汽车检验中心（天津）有限公司</w:t>
      </w:r>
      <w:r>
        <w:rPr>
          <w:rFonts w:hint="eastAsia" w:eastAsia="方正仿宋_GBK"/>
          <w:b w:val="0"/>
          <w:bCs w:val="0"/>
          <w:color w:val="000000" w:themeColor="text1"/>
          <w:sz w:val="32"/>
          <w:szCs w:val="32"/>
          <w:lang w:val="en-US" w:eastAsia="zh-CN"/>
          <w14:textFill>
            <w14:solidFill>
              <w14:schemeClr w14:val="tx1"/>
            </w14:solidFill>
          </w14:textFill>
        </w:rPr>
        <w:t>电磁兼容部</w:t>
      </w:r>
      <w:r>
        <w:rPr>
          <w:rFonts w:eastAsia="方正仿宋_GBK"/>
          <w:color w:val="000000" w:themeColor="text1"/>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4"/>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原则上设特等奖5个，一、二、三等奖若干，从特等奖获奖团队中决出1个</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擂主</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numPr>
          <w:ilvl w:val="0"/>
          <w:numId w:val="4"/>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w:t>
      </w:r>
      <w:r>
        <w:rPr>
          <w:rFonts w:hint="eastAsia" w:eastAsia="方正仿宋_GBK"/>
          <w:color w:val="000000" w:themeColor="text1"/>
          <w:sz w:val="32"/>
          <w:szCs w:val="32"/>
          <w:lang w:val="en-US" w:eastAsia="zh-CN"/>
          <w14:textFill>
            <w14:solidFill>
              <w14:schemeClr w14:val="tx1"/>
            </w14:solidFill>
          </w14:textFill>
        </w:rPr>
        <w:t>在特等奖基础上额外</w:t>
      </w:r>
      <w:r>
        <w:rPr>
          <w:rFonts w:eastAsia="方正仿宋_GBK"/>
          <w:color w:val="000000" w:themeColor="text1"/>
          <w:sz w:val="32"/>
          <w:szCs w:val="32"/>
          <w:lang w:val="en-US"/>
          <w14:textFill>
            <w14:solidFill>
              <w14:schemeClr w14:val="tx1"/>
            </w14:solidFill>
          </w14:textFill>
        </w:rPr>
        <w:t>奖励</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擂主</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队伍1万元；奖励特等奖每支队伍5000元；奖励一等奖每支队伍3000元；奖励二等奖每支队伍2000元；奖励三等奖每支队伍1000元。</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工作成果如获本单位认可，投入应用实践，团队成员可以允许参与项目研发，同时根据项目成果给予额外奖励。</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对于选择本题目的学生可优先安排暑期实习，实习期间提供科研津贴和食宿保障。</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全部获奖团队中应届毕业生参加校园招聘时，符合应聘条件者，直</w:t>
      </w:r>
      <w:r>
        <w:rPr>
          <w:rFonts w:hint="eastAsia" w:eastAsia="方正仿宋_GBK"/>
          <w:color w:val="000000" w:themeColor="text1"/>
          <w:sz w:val="32"/>
          <w:szCs w:val="32"/>
          <w:lang w:val="en-US" w:eastAsia="zh-CN"/>
          <w14:textFill>
            <w14:solidFill>
              <w14:schemeClr w14:val="tx1"/>
            </w14:solidFill>
          </w14:textFill>
        </w:rPr>
        <w:t>接</w:t>
      </w:r>
      <w:r>
        <w:rPr>
          <w:rFonts w:eastAsia="方正仿宋_GBK"/>
          <w:color w:val="000000" w:themeColor="text1"/>
          <w:sz w:val="32"/>
          <w:szCs w:val="32"/>
          <w:lang w:val="en-US"/>
          <w14:textFill>
            <w14:solidFill>
              <w14:schemeClr w14:val="tx1"/>
            </w14:solidFill>
          </w14:textFill>
        </w:rPr>
        <w:t>进入面试环节，同等条件下可优先录用。</w:t>
      </w:r>
    </w:p>
    <w:p>
      <w:pPr>
        <w:pStyle w:val="4"/>
        <w:pageBreakBefore w:val="0"/>
        <w:numPr>
          <w:ilvl w:val="0"/>
          <w:numId w:val="4"/>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联络专员</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张</w:t>
      </w:r>
      <w:r>
        <w:rPr>
          <w:rFonts w:eastAsia="方正仿宋_GBK"/>
          <w:color w:val="000000" w:themeColor="text1"/>
          <w:sz w:val="32"/>
          <w:szCs w:val="32"/>
          <w:lang w:val="en-US"/>
          <w14:textFill>
            <w14:solidFill>
              <w14:schemeClr w14:val="tx1"/>
            </w14:solidFill>
          </w14:textFill>
        </w:rPr>
        <w:t>老师，联系方式：15900332026</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hint="eastAsia"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负责事项</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w:t>
      </w:r>
      <w:r>
        <w:rPr>
          <w:rFonts w:hint="eastAsia" w:eastAsia="方正仿宋_GBK"/>
          <w:color w:val="000000" w:themeColor="text1"/>
          <w:sz w:val="32"/>
          <w:szCs w:val="32"/>
          <w:lang w:val="en-US"/>
          <w14:textFill>
            <w14:solidFill>
              <w14:schemeClr w14:val="tx1"/>
            </w14:solidFill>
          </w14:textFill>
        </w:rPr>
        <w:t>技术指导保障、</w:t>
      </w:r>
      <w:r>
        <w:rPr>
          <w:rFonts w:eastAsia="方正仿宋_GBK"/>
          <w:color w:val="000000" w:themeColor="text1"/>
          <w:sz w:val="32"/>
          <w:szCs w:val="32"/>
          <w:lang w:val="en-US"/>
          <w14:textFill>
            <w14:solidFill>
              <w14:schemeClr w14:val="tx1"/>
            </w14:solidFill>
          </w14:textFill>
        </w:rPr>
        <w:t>组织服务及后期相关赛务协调联络。</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spacing w:line="560" w:lineRule="exact"/>
        <w:ind w:firstLine="640" w:firstLineChars="200"/>
        <w:rPr>
          <w:rFonts w:hint="eastAsia"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jc w:val="right"/>
        <w:rPr>
          <w:rFonts w:eastAsia="方正黑体_GBK"/>
          <w:b w:val="0"/>
          <w:bCs w:val="0"/>
          <w:color w:val="000000" w:themeColor="text1"/>
          <w:lang w:val="en-US"/>
          <w14:textFill>
            <w14:solidFill>
              <w14:schemeClr w14:val="tx1"/>
            </w14:solidFill>
          </w14:textFill>
        </w:rPr>
      </w:pPr>
      <w:r>
        <w:rPr>
          <w:rFonts w:eastAsia="方正仿宋_GBK"/>
          <w:b w:val="0"/>
          <w:bCs w:val="0"/>
          <w:color w:val="000000" w:themeColor="text1"/>
          <w:sz w:val="32"/>
          <w:szCs w:val="32"/>
          <w:lang w:val="en-US"/>
          <w14:textFill>
            <w14:solidFill>
              <w14:schemeClr w14:val="tx1"/>
            </w14:solidFill>
          </w14:textFill>
        </w:rPr>
        <w:t>中汽研新能源汽车检验中心（天津）有限公司</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中汽研新能源汽车检验中心（天津）有限公司是国务院国资委直属中央企业中国汽车技术研究中心有限公司的全资二级子公司，是服务新能源汽车研发全流程链、全产品链、全生命周期、全应用领域的综合性研发验证、测试评价基地，业务方向覆盖燃料电池、动力电池、电驱动总成、电磁兼容、新能源整车。其电磁兼容部门拥有国际领先的测试设备，专业的技术研究团队，具有覆盖汽车全产业链的电磁兼容服务能力，拥有整车10米法暗室，电磁混响室，电机加载暗室，涉氢动力总成加载暗室，拥有行业内最专业的汽车电磁兼容测试研究团队，包括ISO标准工作组、CISPR/D工作组专家多名，牵头制定GB 34660、GB/T 18655等众多汽车EMC标准。在智能网联汽车领域，公司牵头国际、国内智能网联汽车电磁安全测试标准的制修订以及测试方法的研究。</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20B0604020202020204"/>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ascii="Times New Roman" w:hAnsi="Times New Roman" w:cs="Times New Roman"/>
        <w:sz w:val="24"/>
        <w:szCs w:val="24"/>
      </w:rPr>
    </w:pPr>
    <w:r>
      <w:rPr>
        <w:rFonts w:hint="default" w:ascii="Times New Roman" w:hAnsi="Times New Roman" w:cs="Times New Roman"/>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1C0CFABB"/>
    <w:multiLevelType w:val="singleLevel"/>
    <w:tmpl w:val="1C0CFABB"/>
    <w:lvl w:ilvl="0" w:tentative="0">
      <w:start w:val="1"/>
      <w:numFmt w:val="decimal"/>
      <w:suff w:val="space"/>
      <w:lvlText w:val="（%1）"/>
      <w:lvlJc w:val="left"/>
    </w:lvl>
  </w:abstractNum>
  <w:abstractNum w:abstractNumId="3">
    <w:nsid w:val="52994999"/>
    <w:multiLevelType w:val="singleLevel"/>
    <w:tmpl w:val="52994999"/>
    <w:lvl w:ilvl="0" w:tentative="0">
      <w:start w:val="1"/>
      <w:numFmt w:val="decimal"/>
      <w:pStyle w:val="4"/>
      <w:suff w:val="space"/>
      <w:lvlText w:val="%1."/>
      <w:lvlJc w:val="left"/>
      <w:pPr>
        <w:ind w:left="1022" w:hanging="454"/>
      </w:pPr>
      <w:rPr>
        <w:rFonts w:hint="default" w:eastAsia="方正仿宋楷体"/>
        <w:sz w:val="32"/>
        <w:szCs w:val="32"/>
      </w:rPr>
    </w:lvl>
  </w:abstractNum>
  <w:num w:numId="1">
    <w:abstractNumId w:val="1"/>
  </w:num>
  <w:num w:numId="2">
    <w:abstractNumId w:val="3"/>
  </w:num>
  <w:num w:numId="3">
    <w:abstractNumId w:val="2"/>
  </w:num>
  <w:num w:numId="4">
    <w:abstractNumId w:val="3"/>
    <w:lvlOverride w:ilvl="0">
      <w:startOverride w:val="1"/>
    </w:lvlOverride>
  </w:num>
  <w:num w:numId="5">
    <w:abstractNumId w:val="0"/>
  </w:num>
  <w:num w:numId="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0F4B13"/>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228E8"/>
    <w:rsid w:val="00341051"/>
    <w:rsid w:val="00351403"/>
    <w:rsid w:val="00354FAF"/>
    <w:rsid w:val="00357C14"/>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4F5227"/>
    <w:rsid w:val="00517736"/>
    <w:rsid w:val="00532B4E"/>
    <w:rsid w:val="005333BA"/>
    <w:rsid w:val="00537F15"/>
    <w:rsid w:val="00553DCC"/>
    <w:rsid w:val="00554C5C"/>
    <w:rsid w:val="005610DA"/>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4460A"/>
    <w:rsid w:val="00663468"/>
    <w:rsid w:val="0066573D"/>
    <w:rsid w:val="0068166A"/>
    <w:rsid w:val="006A3A6E"/>
    <w:rsid w:val="006A51DF"/>
    <w:rsid w:val="006C3959"/>
    <w:rsid w:val="006C732F"/>
    <w:rsid w:val="006D742C"/>
    <w:rsid w:val="006E6DDA"/>
    <w:rsid w:val="007216F0"/>
    <w:rsid w:val="0073249A"/>
    <w:rsid w:val="00746651"/>
    <w:rsid w:val="00765C33"/>
    <w:rsid w:val="00777C79"/>
    <w:rsid w:val="007879EC"/>
    <w:rsid w:val="007F195A"/>
    <w:rsid w:val="00805D49"/>
    <w:rsid w:val="00816F55"/>
    <w:rsid w:val="008256B9"/>
    <w:rsid w:val="00825FD8"/>
    <w:rsid w:val="008313DD"/>
    <w:rsid w:val="008321B0"/>
    <w:rsid w:val="00851D22"/>
    <w:rsid w:val="00860FD3"/>
    <w:rsid w:val="008669B5"/>
    <w:rsid w:val="00867EEA"/>
    <w:rsid w:val="00872C0C"/>
    <w:rsid w:val="00873277"/>
    <w:rsid w:val="008769EE"/>
    <w:rsid w:val="0088143A"/>
    <w:rsid w:val="008836AC"/>
    <w:rsid w:val="00887D7E"/>
    <w:rsid w:val="0089086B"/>
    <w:rsid w:val="008B43EC"/>
    <w:rsid w:val="008C20B6"/>
    <w:rsid w:val="008C4B94"/>
    <w:rsid w:val="008E3EE3"/>
    <w:rsid w:val="008E7B08"/>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2C9E"/>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0154"/>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C4BD3"/>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8C8291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2061EA"/>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59A75DB"/>
    <w:rsid w:val="2604714B"/>
    <w:rsid w:val="26680B0E"/>
    <w:rsid w:val="276607BD"/>
    <w:rsid w:val="27707807"/>
    <w:rsid w:val="277E3A4E"/>
    <w:rsid w:val="29095901"/>
    <w:rsid w:val="290F58EC"/>
    <w:rsid w:val="29712213"/>
    <w:rsid w:val="2A5F0149"/>
    <w:rsid w:val="2A641BAA"/>
    <w:rsid w:val="2A85768A"/>
    <w:rsid w:val="2B0E3A48"/>
    <w:rsid w:val="2B2B347E"/>
    <w:rsid w:val="2B5841C1"/>
    <w:rsid w:val="2B8A5D80"/>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BB63F5"/>
    <w:rsid w:val="35F73B2D"/>
    <w:rsid w:val="36160F00"/>
    <w:rsid w:val="36A171E4"/>
    <w:rsid w:val="372E40E3"/>
    <w:rsid w:val="375B41E8"/>
    <w:rsid w:val="37983B5D"/>
    <w:rsid w:val="37E008B4"/>
    <w:rsid w:val="37E3463B"/>
    <w:rsid w:val="38731E86"/>
    <w:rsid w:val="38A54F26"/>
    <w:rsid w:val="38AB24E9"/>
    <w:rsid w:val="38DD789A"/>
    <w:rsid w:val="393E61F7"/>
    <w:rsid w:val="39547B8F"/>
    <w:rsid w:val="396669FF"/>
    <w:rsid w:val="396E5A01"/>
    <w:rsid w:val="397B56DC"/>
    <w:rsid w:val="39AC7A37"/>
    <w:rsid w:val="39EE0ECA"/>
    <w:rsid w:val="3A010BF4"/>
    <w:rsid w:val="3A5A5133"/>
    <w:rsid w:val="3A5F052B"/>
    <w:rsid w:val="3B3347D5"/>
    <w:rsid w:val="3BC02155"/>
    <w:rsid w:val="3BF7E6BF"/>
    <w:rsid w:val="3C28581E"/>
    <w:rsid w:val="3C4538F8"/>
    <w:rsid w:val="3C9A5CBB"/>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2319BC"/>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1C57F3"/>
    <w:rsid w:val="57A3633F"/>
    <w:rsid w:val="57B27F05"/>
    <w:rsid w:val="57CF58DB"/>
    <w:rsid w:val="57DC33A7"/>
    <w:rsid w:val="58215343"/>
    <w:rsid w:val="584F10D8"/>
    <w:rsid w:val="5854171D"/>
    <w:rsid w:val="587561D1"/>
    <w:rsid w:val="58942C4B"/>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5F8959EF"/>
    <w:rsid w:val="603F5402"/>
    <w:rsid w:val="60603B12"/>
    <w:rsid w:val="60B0413F"/>
    <w:rsid w:val="60D818B2"/>
    <w:rsid w:val="614C422E"/>
    <w:rsid w:val="615A0A76"/>
    <w:rsid w:val="619135C2"/>
    <w:rsid w:val="61F01D56"/>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860106"/>
    <w:rsid w:val="719F75B5"/>
    <w:rsid w:val="71B400B8"/>
    <w:rsid w:val="71BF5D6D"/>
    <w:rsid w:val="72516F6C"/>
    <w:rsid w:val="72EF1566"/>
    <w:rsid w:val="73412F53"/>
    <w:rsid w:val="73437FCE"/>
    <w:rsid w:val="73B30FC6"/>
    <w:rsid w:val="7452521E"/>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97014E"/>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ind w:left="454"/>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9"/>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589</Words>
  <Characters>3361</Characters>
  <Lines>28</Lines>
  <Paragraphs>7</Paragraphs>
  <TotalTime>0</TotalTime>
  <ScaleCrop>false</ScaleCrop>
  <LinksUpToDate>false</LinksUpToDate>
  <CharactersWithSpaces>3943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2024-03-30T14:49:00Z</dcterms:created>
  <dc:creator>张 斌</dc:creator>
  <cp:lastModifiedBy>朱赫</cp:lastModifiedBy>
  <cp:lastPrinted>2023-02-10T11:47:00Z</cp:lastPrinted>
  <dcterms:modified xsi:type="dcterms:W3CDTF">2024-04-17T00:46:11Z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