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3：</w:t>
      </w:r>
    </w:p>
    <w:p>
      <w:pPr>
        <w:pStyle w:val="2"/>
        <w:spacing w:beforeAutospacing="0" w:afterAutospacing="0" w:line="640" w:lineRule="exact"/>
        <w:jc w:val="cente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基于时空因果机理的智慧城市模型构建</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14:textFill>
            <w14:solidFill>
              <w14:schemeClr w14:val="tx1"/>
            </w14:solidFill>
          </w14:textFill>
        </w:rPr>
        <w:t>中国移动通信集团北京有限公司</w:t>
      </w:r>
      <w:r>
        <w:rPr>
          <w:rFonts w:eastAsia="方正楷体简体"/>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组织单位</w:t>
      </w:r>
    </w:p>
    <w:p>
      <w:pPr>
        <w:spacing w:line="560" w:lineRule="exact"/>
        <w:ind w:firstLine="640" w:firstLineChars="200"/>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中国移动通信集团北京有限公司</w:t>
      </w: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题目名称</w:t>
      </w:r>
    </w:p>
    <w:p>
      <w:pPr>
        <w:spacing w:line="560" w:lineRule="exact"/>
        <w:ind w:firstLine="640" w:firstLineChars="200"/>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基于时空因果机理的智慧城市模型构建</w:t>
      </w: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题目介绍</w:t>
      </w:r>
    </w:p>
    <w:p>
      <w:pPr>
        <w:spacing w:line="560" w:lineRule="exact"/>
        <w:ind w:firstLine="640" w:firstLineChars="200"/>
        <w:rPr>
          <w:rFonts w:hint="eastAsia" w:ascii="方正仿宋_GBK" w:eastAsia="方正仿宋_GBK"/>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202</w:t>
      </w:r>
      <w:r>
        <w:rPr>
          <w:rFonts w:hint="eastAsia" w:eastAsia="方正仿宋_GBK" w:cs="Times New Roman"/>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color w:val="000000" w:themeColor="text1"/>
          <w:sz w:val="32"/>
          <w:szCs w:val="32"/>
          <w:lang w:val="en-US"/>
          <w14:textFill>
            <w14:solidFill>
              <w14:schemeClr w14:val="tx1"/>
            </w14:solidFill>
          </w14:textFill>
        </w:rPr>
        <w:t>年，我国智慧城市建设的投资持续增加，技术不断革新，已成为今后</w:t>
      </w:r>
      <w:r>
        <w:rPr>
          <w:rFonts w:hint="eastAsia" w:ascii="方正仿宋_GBK" w:eastAsia="方正仿宋_GBK"/>
          <w:color w:val="000000" w:themeColor="text1"/>
          <w:sz w:val="32"/>
          <w:szCs w:val="32"/>
          <w:lang w:val="en-US"/>
          <w14:textFill>
            <w14:solidFill>
              <w14:schemeClr w14:val="tx1"/>
            </w14:solidFill>
          </w14:textFill>
        </w:rPr>
        <w:t>城市规划的新方向。当前</w:t>
      </w:r>
      <w:r>
        <w:rPr>
          <w:rFonts w:hint="eastAsia" w:ascii="方正仿宋_GBK" w:eastAsia="方正仿宋_GBK"/>
          <w:color w:val="000000" w:themeColor="text1"/>
          <w:sz w:val="32"/>
          <w:szCs w:val="32"/>
          <w:lang w:val="en-US" w:eastAsia="zh-CN"/>
          <w14:textFill>
            <w14:solidFill>
              <w14:schemeClr w14:val="tx1"/>
            </w14:solidFill>
          </w14:textFill>
        </w:rPr>
        <w:t>，</w:t>
      </w:r>
      <w:r>
        <w:rPr>
          <w:rFonts w:hint="eastAsia" w:ascii="方正仿宋_GBK" w:eastAsia="方正仿宋_GBK"/>
          <w:color w:val="000000" w:themeColor="text1"/>
          <w:sz w:val="32"/>
          <w:szCs w:val="32"/>
          <w:lang w:val="en-US"/>
          <w14:textFill>
            <w14:solidFill>
              <w14:schemeClr w14:val="tx1"/>
            </w14:solidFill>
          </w14:textFill>
        </w:rPr>
        <w:t xml:space="preserve">北京正在建设全球标杆的新型智慧城市。智慧旅游和智慧交通是新型城市治理体系的关键，而城市病治理则是智慧交通的核心痛点之一。 </w:t>
      </w:r>
      <w:r>
        <w:rPr>
          <w:rFonts w:hint="eastAsia" w:ascii="方正仿宋_GBK" w:eastAsia="方正仿宋_GBK"/>
          <w:color w:val="000000" w:themeColor="text1"/>
          <w:sz w:val="32"/>
          <w:szCs w:val="32"/>
          <w:lang w:val="en-US" w:eastAsia="zh-CN"/>
          <w14:textFill>
            <w14:solidFill>
              <w14:schemeClr w14:val="tx1"/>
            </w14:solidFill>
          </w14:textFill>
        </w:rPr>
        <w:t>请</w:t>
      </w:r>
      <w:r>
        <w:rPr>
          <w:rFonts w:hint="eastAsia" w:ascii="方正仿宋_GBK" w:eastAsia="方正仿宋_GBK"/>
          <w:color w:val="000000" w:themeColor="text1"/>
          <w:sz w:val="32"/>
          <w:szCs w:val="32"/>
          <w:lang w:val="en-US"/>
          <w14:textFill>
            <w14:solidFill>
              <w14:schemeClr w14:val="tx1"/>
            </w14:solidFill>
          </w14:textFill>
        </w:rPr>
        <w:t>从智慧旅游和基于交通的城市病治理中选择一个主题，通过挖掘城市内在演化机理</w:t>
      </w:r>
      <w:r>
        <w:rPr>
          <w:rFonts w:hint="eastAsia" w:ascii="方正仿宋_GBK" w:eastAsia="方正仿宋_GBK"/>
          <w:color w:val="000000" w:themeColor="text1"/>
          <w:sz w:val="32"/>
          <w:szCs w:val="32"/>
          <w:lang w:val="en-US" w:eastAsia="zh-CN"/>
          <w14:textFill>
            <w14:solidFill>
              <w14:schemeClr w14:val="tx1"/>
            </w14:solidFill>
          </w14:textFill>
        </w:rPr>
        <w:t>，</w:t>
      </w:r>
      <w:r>
        <w:rPr>
          <w:rFonts w:hint="eastAsia" w:ascii="方正仿宋_GBK" w:eastAsia="方正仿宋_GBK"/>
          <w:color w:val="000000" w:themeColor="text1"/>
          <w:sz w:val="32"/>
          <w:szCs w:val="32"/>
          <w:lang w:val="en-US"/>
          <w14:textFill>
            <w14:solidFill>
              <w14:schemeClr w14:val="tx1"/>
            </w14:solidFill>
          </w14:textFill>
        </w:rPr>
        <w:t>在复杂环境中基于城市的历史时空数据构建动态因果模型。</w:t>
      </w:r>
    </w:p>
    <w:p>
      <w:pPr>
        <w:numPr>
          <w:ilvl w:val="0"/>
          <w:numId w:val="3"/>
        </w:numPr>
        <w:spacing w:line="560" w:lineRule="exact"/>
        <w:ind w:firstLine="640" w:firstLineChars="200"/>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在智慧旅游方面，</w:t>
      </w:r>
      <w:r>
        <w:rPr>
          <w:rFonts w:hint="eastAsia" w:ascii="方正仿宋_GBK" w:eastAsia="方正仿宋_GBK"/>
          <w:color w:val="000000" w:themeColor="text1"/>
          <w:sz w:val="32"/>
          <w:szCs w:val="32"/>
          <w:lang w:val="en-US" w:eastAsia="zh-CN"/>
          <w14:textFill>
            <w14:solidFill>
              <w14:schemeClr w14:val="tx1"/>
            </w14:solidFill>
          </w14:textFill>
        </w:rPr>
        <w:t>请</w:t>
      </w:r>
      <w:r>
        <w:rPr>
          <w:rFonts w:hint="default" w:ascii="Times New Roman" w:hAnsi="Times New Roman" w:eastAsia="方正仿宋_GBK" w:cs="Times New Roman"/>
          <w:color w:val="000000" w:themeColor="text1"/>
          <w:sz w:val="32"/>
          <w:szCs w:val="32"/>
          <w:lang w:val="en-US"/>
          <w14:textFill>
            <w14:solidFill>
              <w14:schemeClr w14:val="tx1"/>
            </w14:solidFill>
          </w14:textFill>
        </w:rPr>
        <w:t>结合具体的文旅资源，依托大数据分析文旅产业内在机理</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在机理分析的基础上，给出文旅数字经济产业转型发展、打造全球新</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IP</w:t>
      </w:r>
      <w:r>
        <w:rPr>
          <w:rFonts w:hint="eastAsia" w:ascii="方正仿宋_GBK" w:eastAsia="方正仿宋_GBK"/>
          <w:color w:val="000000" w:themeColor="text1"/>
          <w:sz w:val="32"/>
          <w:szCs w:val="32"/>
          <w:lang w:val="en-US"/>
          <w14:textFill>
            <w14:solidFill>
              <w14:schemeClr w14:val="tx1"/>
            </w14:solidFill>
          </w14:textFill>
        </w:rPr>
        <w:t>的智慧旅游解决方案。</w:t>
      </w:r>
    </w:p>
    <w:p>
      <w:pPr>
        <w:numPr>
          <w:ilvl w:val="0"/>
          <w:numId w:val="3"/>
        </w:numPr>
        <w:spacing w:line="560" w:lineRule="exact"/>
        <w:ind w:firstLine="640" w:firstLineChars="200"/>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在城市病治理方面，</w:t>
      </w:r>
      <w:r>
        <w:rPr>
          <w:rFonts w:hint="eastAsia" w:ascii="方正仿宋_GBK" w:eastAsia="方正仿宋_GBK"/>
          <w:color w:val="000000" w:themeColor="text1"/>
          <w:sz w:val="32"/>
          <w:szCs w:val="32"/>
          <w:lang w:val="en-US" w:eastAsia="zh-CN"/>
          <w14:textFill>
            <w14:solidFill>
              <w14:schemeClr w14:val="tx1"/>
            </w14:solidFill>
          </w14:textFill>
        </w:rPr>
        <w:t>请</w:t>
      </w:r>
      <w:r>
        <w:rPr>
          <w:rFonts w:hint="eastAsia" w:ascii="方正仿宋_GBK" w:eastAsia="方正仿宋_GBK"/>
          <w:color w:val="000000" w:themeColor="text1"/>
          <w:sz w:val="32"/>
          <w:szCs w:val="32"/>
          <w:lang w:val="en-US"/>
          <w14:textFill>
            <w14:solidFill>
              <w14:schemeClr w14:val="tx1"/>
            </w14:solidFill>
          </w14:textFill>
        </w:rPr>
        <w:t>结合城市病在交通方面的表现，构建具有监测诊断、溯因追源、辅助决策功能的城市模型。模型应当实现对城市病的预测预防，并为政策制定提供多维度的仿真模拟和评估。</w:t>
      </w: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参赛对象</w:t>
      </w:r>
    </w:p>
    <w:p>
      <w:pPr>
        <w:numPr>
          <w:ilvl w:val="0"/>
          <w:numId w:val="0"/>
        </w:numPr>
        <w:spacing w:line="560" w:lineRule="exact"/>
        <w:ind w:firstLine="640" w:firstLineChars="20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numPr>
          <w:ilvl w:val="0"/>
          <w:numId w:val="0"/>
        </w:numPr>
        <w:spacing w:line="560" w:lineRule="exact"/>
        <w:ind w:firstLine="640" w:firstLineChars="20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numPr>
          <w:ilvl w:val="0"/>
          <w:numId w:val="0"/>
        </w:numPr>
        <w:spacing w:line="560" w:lineRule="exact"/>
        <w:ind w:firstLine="640" w:firstLineChars="20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numPr>
          <w:ilvl w:val="0"/>
          <w:numId w:val="0"/>
        </w:numPr>
        <w:spacing w:line="560" w:lineRule="exact"/>
        <w:ind w:firstLine="640" w:firstLineChars="20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每件作品仅可由1所高校推报，高校在推报前要对参赛团队成员及作品进行相关资格审查。</w:t>
      </w:r>
    </w:p>
    <w:p>
      <w:pPr>
        <w:numPr>
          <w:ilvl w:val="0"/>
          <w:numId w:val="0"/>
        </w:numPr>
        <w:spacing w:line="560" w:lineRule="exact"/>
        <w:ind w:firstLine="640" w:firstLineChars="200"/>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每所学校选送参加专项赛的作品数量不设限制，但同一作品不得同时参加第十九届“挑战杯”全国大学生课外学术科技作品竞赛主体赛事自然科学类学术论文、哲学社会科学类调查报告、科技发明制作作品评比。</w:t>
      </w: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答题要求</w:t>
      </w:r>
    </w:p>
    <w:p>
      <w:pPr>
        <w:numPr>
          <w:ilvl w:val="0"/>
          <w:numId w:val="0"/>
        </w:numPr>
        <w:spacing w:line="560" w:lineRule="exact"/>
        <w:ind w:firstLine="640" w:firstLineChars="200"/>
        <w:rPr>
          <w:rFonts w:hint="eastAsia" w:ascii="方正仿宋_GBK" w:eastAsia="方正仿宋_GBK"/>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1. </w:t>
      </w:r>
      <w:r>
        <w:rPr>
          <w:rFonts w:hint="eastAsia" w:ascii="方正仿宋_GBK" w:eastAsia="方正仿宋_GBK"/>
          <w:color w:val="000000" w:themeColor="text1"/>
          <w:sz w:val="32"/>
          <w:szCs w:val="32"/>
          <w:lang w:val="en-US" w:eastAsia="zh-CN"/>
          <w14:textFill>
            <w14:solidFill>
              <w14:schemeClr w14:val="tx1"/>
            </w14:solidFill>
          </w14:textFill>
        </w:rPr>
        <w:t xml:space="preserve">作品要求使用正版软件完成，开发语言、环境不限。 </w:t>
      </w:r>
    </w:p>
    <w:p>
      <w:pPr>
        <w:numPr>
          <w:ilvl w:val="0"/>
          <w:numId w:val="0"/>
        </w:numPr>
        <w:spacing w:line="560" w:lineRule="exact"/>
        <w:ind w:firstLine="640" w:firstLineChars="200"/>
        <w:rPr>
          <w:rFonts w:hint="eastAsia" w:ascii="方正仿宋_GBK" w:eastAsia="方正仿宋_GBK"/>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2. </w:t>
      </w:r>
      <w:r>
        <w:rPr>
          <w:rFonts w:hint="eastAsia" w:ascii="方正仿宋_GBK" w:eastAsia="方正仿宋_GBK"/>
          <w:color w:val="000000" w:themeColor="text1"/>
          <w:sz w:val="32"/>
          <w:szCs w:val="32"/>
          <w:lang w:val="en-US" w:eastAsia="zh-CN"/>
          <w14:textFill>
            <w14:solidFill>
              <w14:schemeClr w14:val="tx1"/>
            </w14:solidFill>
          </w14:textFill>
        </w:rPr>
        <w:t xml:space="preserve">参赛者需提供具体的功能设计和算法描述，需自行对功能设计进行合理性评估，包括但不限于作品设计报告、使用说明等文档，以及作品源代码等。 </w:t>
      </w:r>
    </w:p>
    <w:p>
      <w:pPr>
        <w:numPr>
          <w:ilvl w:val="0"/>
          <w:numId w:val="0"/>
        </w:numPr>
        <w:spacing w:line="560" w:lineRule="exact"/>
        <w:ind w:firstLine="640" w:firstLineChars="200"/>
        <w:rPr>
          <w:rFonts w:hint="eastAsia" w:ascii="方正仿宋_GBK" w:eastAsia="方正仿宋_GBK"/>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 xml:space="preserve">3. </w:t>
      </w:r>
      <w:r>
        <w:rPr>
          <w:rFonts w:hint="eastAsia" w:ascii="方正仿宋_GBK" w:eastAsia="方正仿宋_GBK"/>
          <w:color w:val="000000" w:themeColor="text1"/>
          <w:sz w:val="32"/>
          <w:szCs w:val="32"/>
          <w:lang w:val="en-US" w:eastAsia="zh-CN"/>
          <w14:textFill>
            <w14:solidFill>
              <w14:schemeClr w14:val="tx1"/>
            </w14:solidFill>
          </w14:textFill>
        </w:rPr>
        <w:t xml:space="preserve">参赛者必须保证作品的原创性，杜绝一切抄袭或剽窃他人成果的作品参赛，参赛者应严格遵守国家有关知识产权保护的规定，不得侵犯任何第三方的知识产权或其他权力，如引发知识产权纠纷，责任由参赛者自负。 </w:t>
      </w:r>
    </w:p>
    <w:p>
      <w:pPr>
        <w:numPr>
          <w:ilvl w:val="0"/>
          <w:numId w:val="0"/>
        </w:numPr>
        <w:spacing w:line="560" w:lineRule="exact"/>
        <w:ind w:firstLine="640" w:firstLineChars="200"/>
        <w:rPr>
          <w:rFonts w:hint="eastAsia" w:ascii="方正仿宋_GBK" w:eastAsia="方正仿宋_GBK"/>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4. </w:t>
      </w:r>
      <w:r>
        <w:rPr>
          <w:rFonts w:hint="eastAsia" w:ascii="方正仿宋_GBK" w:eastAsia="方正仿宋_GBK"/>
          <w:color w:val="000000" w:themeColor="text1"/>
          <w:sz w:val="32"/>
          <w:szCs w:val="32"/>
          <w:lang w:val="en-US" w:eastAsia="zh-CN"/>
          <w14:textFill>
            <w14:solidFill>
              <w14:schemeClr w14:val="tx1"/>
            </w14:solidFill>
          </w14:textFill>
        </w:rPr>
        <w:t>参赛作品提交的材料原则上不予退还，请参赛者自行保存底稿。作品已获得国际竞赛、国家级奖励和其他全国性竞赛获奖作品的，不在申报作品范围之列。</w:t>
      </w:r>
    </w:p>
    <w:p>
      <w:pPr>
        <w:numPr>
          <w:ilvl w:val="0"/>
          <w:numId w:val="0"/>
        </w:numPr>
        <w:spacing w:line="560" w:lineRule="exact"/>
        <w:ind w:firstLine="640" w:firstLineChars="200"/>
        <w:rPr>
          <w:rFonts w:hint="eastAsia" w:ascii="方正仿宋_GBK" w:eastAsia="方正仿宋_GBK"/>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5. </w:t>
      </w:r>
      <w:r>
        <w:rPr>
          <w:rFonts w:hint="eastAsia" w:ascii="方正仿宋_GBK" w:eastAsia="方正仿宋_GBK"/>
          <w:color w:val="000000" w:themeColor="text1"/>
          <w:sz w:val="32"/>
          <w:szCs w:val="32"/>
          <w:lang w:val="en-US" w:eastAsia="zh-CN"/>
          <w14:textFill>
            <w14:solidFill>
              <w14:schemeClr w14:val="tx1"/>
            </w14:solidFill>
          </w14:textFill>
        </w:rPr>
        <w:t>根据大赛整体时间安排并结合科研攻关的科学规律，8月1日前，各参赛团队提交作品。</w:t>
      </w: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作品评选标准</w:t>
      </w:r>
    </w:p>
    <w:p>
      <w:pPr>
        <w:pStyle w:val="4"/>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基本要求</w:t>
      </w:r>
    </w:p>
    <w:p>
      <w:pPr>
        <w:numPr>
          <w:ilvl w:val="0"/>
          <w:numId w:val="4"/>
        </w:num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研究思路合理，</w:t>
      </w:r>
      <w:r>
        <w:rPr>
          <w:rFonts w:hint="eastAsia" w:eastAsia="方正仿宋_GBK"/>
          <w:color w:val="000000" w:themeColor="text1"/>
          <w:sz w:val="32"/>
          <w:szCs w:val="32"/>
          <w:lang w:val="en-US" w:eastAsia="zh-CN"/>
          <w14:textFill>
            <w14:solidFill>
              <w14:schemeClr w14:val="tx1"/>
            </w14:solidFill>
          </w14:textFill>
        </w:rPr>
        <w:t>研究方案</w:t>
      </w:r>
      <w:r>
        <w:rPr>
          <w:rFonts w:eastAsia="方正仿宋_GBK"/>
          <w:color w:val="000000" w:themeColor="text1"/>
          <w:sz w:val="32"/>
          <w:szCs w:val="32"/>
          <w:lang w:val="en-US"/>
          <w14:textFill>
            <w14:solidFill>
              <w14:schemeClr w14:val="tx1"/>
            </w14:solidFill>
          </w14:textFill>
        </w:rPr>
        <w:t>可行；</w:t>
      </w:r>
    </w:p>
    <w:p>
      <w:pPr>
        <w:numPr>
          <w:ilvl w:val="0"/>
          <w:numId w:val="4"/>
        </w:num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作品具有完整性，</w:t>
      </w:r>
      <w:r>
        <w:rPr>
          <w:rFonts w:hint="eastAsia" w:eastAsia="方正仿宋_GBK"/>
          <w:color w:val="000000" w:themeColor="text1"/>
          <w:sz w:val="32"/>
          <w:szCs w:val="32"/>
          <w:lang w:val="en-US" w:eastAsia="zh-CN"/>
          <w14:textFill>
            <w14:solidFill>
              <w14:schemeClr w14:val="tx1"/>
            </w14:solidFill>
          </w14:textFill>
        </w:rPr>
        <w:t>作品内容与研究课题一致</w:t>
      </w:r>
      <w:r>
        <w:rPr>
          <w:rFonts w:eastAsia="方正仿宋_GBK"/>
          <w:color w:val="000000" w:themeColor="text1"/>
          <w:sz w:val="32"/>
          <w:szCs w:val="32"/>
          <w:lang w:val="en-US"/>
          <w14:textFill>
            <w14:solidFill>
              <w14:schemeClr w14:val="tx1"/>
            </w14:solidFill>
          </w14:textFill>
        </w:rPr>
        <w:t>；</w:t>
      </w:r>
    </w:p>
    <w:p>
      <w:pPr>
        <w:numPr>
          <w:ilvl w:val="0"/>
          <w:numId w:val="4"/>
        </w:num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展示材料内容齐全、页面整洁。</w:t>
      </w:r>
    </w:p>
    <w:p>
      <w:pPr>
        <w:pStyle w:val="4"/>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优选要求</w:t>
      </w:r>
    </w:p>
    <w:p>
      <w:pPr>
        <w:numPr>
          <w:ilvl w:val="0"/>
          <w:numId w:val="5"/>
        </w:numPr>
        <w:spacing w:line="560" w:lineRule="exact"/>
        <w:ind w:firstLine="640" w:firstLineChars="200"/>
        <w:jc w:val="both"/>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作品完整性</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参赛作品的模式完整、场景清晰，能够充分发挥数据价值，助力智慧城市的建设。在城市病治理方面，要求实现对城市病的因果表征学习、因果结构机理学习、根源回溯、决策仿真。在智慧旅游方面，要求分析文旅产业内在运行机理，结合模型给出解决方案。</w:t>
      </w:r>
    </w:p>
    <w:p>
      <w:pPr>
        <w:numPr>
          <w:ilvl w:val="0"/>
          <w:numId w:val="5"/>
        </w:numPr>
        <w:spacing w:line="560" w:lineRule="exact"/>
        <w:ind w:firstLine="640" w:firstLineChars="200"/>
        <w:jc w:val="both"/>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模式与算法创新</w:t>
      </w:r>
      <w:r>
        <w:rPr>
          <w:rFonts w:hint="eastAsia" w:eastAsia="方正仿宋_GBK"/>
          <w:color w:val="000000" w:themeColor="text1"/>
          <w:sz w:val="32"/>
          <w:szCs w:val="32"/>
          <w:lang w:val="en-US" w:eastAsia="zh-CN"/>
          <w14:textFill>
            <w14:solidFill>
              <w14:schemeClr w14:val="tx1"/>
            </w14:solidFill>
          </w14:textFill>
        </w:rPr>
        <w:t>性。</w:t>
      </w:r>
      <w:r>
        <w:rPr>
          <w:rFonts w:hint="eastAsia" w:eastAsia="方正仿宋_GBK"/>
          <w:color w:val="000000" w:themeColor="text1"/>
          <w:sz w:val="32"/>
          <w:szCs w:val="32"/>
          <w:lang w:val="en-US"/>
          <w14:textFill>
            <w14:solidFill>
              <w14:schemeClr w14:val="tx1"/>
            </w14:solidFill>
          </w14:textFill>
        </w:rPr>
        <w:t>参赛作品创新性突出，与行业成熟方案相比较有差异化。</w:t>
      </w:r>
    </w:p>
    <w:p>
      <w:pPr>
        <w:numPr>
          <w:ilvl w:val="0"/>
          <w:numId w:val="5"/>
        </w:numPr>
        <w:spacing w:line="560" w:lineRule="exact"/>
        <w:ind w:firstLine="640" w:firstLineChars="200"/>
        <w:jc w:val="both"/>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作品可行性</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在现有市场条件和技术范畴内，作品具有较强的可行性，无明显的技术瓶颈，实现成本可控。</w:t>
      </w:r>
    </w:p>
    <w:p>
      <w:pPr>
        <w:pStyle w:val="3"/>
        <w:ind w:firstLine="640"/>
        <w:jc w:val="both"/>
        <w:rPr>
          <w:rFonts w:hint="eastAsia" w:ascii="方正黑体_GBK" w:hAnsi="方正黑体_GBK" w:eastAsia="方正黑体_GBK" w:cs="方正黑体_GBK"/>
          <w:color w:val="000000" w:themeColor="text1"/>
          <w:lang w:val="en-US" w:eastAsia="zh-CN"/>
          <w14:textFill>
            <w14:solidFill>
              <w14:schemeClr w14:val="tx1"/>
            </w14:solidFill>
          </w14:textFill>
        </w:rPr>
      </w:pPr>
      <w:r>
        <w:rPr>
          <w:rFonts w:hint="eastAsia" w:ascii="方正黑体_GBK" w:hAnsi="方正黑体_GBK" w:eastAsia="方正黑体_GBK" w:cs="方正黑体_GBK"/>
          <w:color w:val="000000" w:themeColor="text1"/>
          <w:lang w:val="en-US" w:eastAsia="zh-CN"/>
          <w14:textFill>
            <w14:solidFill>
              <w14:schemeClr w14:val="tx1"/>
            </w14:solidFill>
          </w14:textFill>
        </w:rPr>
        <w:t>作品提交时间</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8月</w:t>
      </w:r>
      <w:r>
        <w:rPr>
          <w:rFonts w:hint="eastAsia" w:eastAsia="方正仿宋_GBK"/>
          <w:color w:val="000000" w:themeColor="text1"/>
          <w:sz w:val="32"/>
          <w:szCs w:val="32"/>
          <w:lang w:val="en-US" w:eastAsia="zh-CN"/>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日前，各参赛团队向组委会提交作品，具体提交要求详见作品提交方式。</w:t>
      </w: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参赛报名及作品提交方式</w:t>
      </w:r>
    </w:p>
    <w:p>
      <w:pPr>
        <w:pStyle w:val="17"/>
        <w:spacing w:line="560" w:lineRule="exact"/>
        <w:ind w:firstLine="640"/>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numPr>
          <w:ilvl w:val="0"/>
          <w:numId w:val="0"/>
        </w:numPr>
        <w:ind w:left="454" w:firstLine="320" w:firstLineChars="100"/>
        <w:rPr>
          <w:rFonts w:hint="default" w:ascii="Times New Roman" w:hAnsi="Times New Roman" w:eastAsia="方正楷体_GBK" w:cs="Times New Roman"/>
          <w:color w:val="000000" w:themeColor="text1"/>
          <w14:textFill>
            <w14:solidFill>
              <w14:schemeClr w14:val="tx1"/>
            </w14:solidFill>
          </w14:textFill>
        </w:rPr>
      </w:pPr>
      <w:r>
        <w:rPr>
          <w:rFonts w:hint="default" w:ascii="Times New Roman" w:hAnsi="Times New Roman" w:eastAsia="方正楷体_GBK" w:cs="Times New Roman"/>
          <w:color w:val="000000" w:themeColor="text1"/>
          <w:szCs w:val="32"/>
          <w14:textFill>
            <w14:solidFill>
              <w14:schemeClr w14:val="tx1"/>
            </w14:solidFill>
          </w14:textFill>
        </w:rPr>
        <w:t xml:space="preserve">2. </w:t>
      </w:r>
      <w:r>
        <w:rPr>
          <w:rFonts w:hint="default" w:ascii="Times New Roman" w:hAnsi="Times New Roman" w:eastAsia="方正楷体_GBK" w:cs="Times New Roman"/>
          <w:color w:val="000000" w:themeColor="text1"/>
          <w14:textFill>
            <w14:solidFill>
              <w14:schemeClr w14:val="tx1"/>
            </w14:solidFill>
          </w14:textFill>
        </w:rPr>
        <w:t>具体作品提交方式</w:t>
      </w:r>
    </w:p>
    <w:p>
      <w:pPr>
        <w:spacing w:line="560" w:lineRule="exact"/>
        <w:ind w:firstLine="640" w:firstLineChars="200"/>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spacing w:line="560" w:lineRule="exact"/>
        <w:ind w:firstLine="640" w:firstLineChars="200"/>
        <w:rPr>
          <w:rFonts w:eastAsia="方正仿宋_GBK"/>
          <w:bCs/>
          <w:color w:val="000000" w:themeColor="text1"/>
          <w:sz w:val="32"/>
          <w:szCs w:val="32"/>
          <w:lang w:val="en-US"/>
          <w14:textFill>
            <w14:solidFill>
              <w14:schemeClr w14:val="tx1"/>
            </w14:solidFill>
          </w14:textFill>
        </w:rPr>
      </w:pPr>
      <w:r>
        <w:rPr>
          <w:rFonts w:eastAsia="方正仿宋_GBK"/>
          <w:bCs/>
          <w:color w:val="000000" w:themeColor="text1"/>
          <w:sz w:val="32"/>
          <w:szCs w:val="32"/>
          <w14:textFill>
            <w14:solidFill>
              <w14:schemeClr w14:val="tx1"/>
            </w14:solidFill>
          </w14:textFill>
        </w:rPr>
        <w:t>请将作品文档及程序以压缩包格式</w:t>
      </w:r>
      <w:r>
        <w:rPr>
          <w:rFonts w:hint="eastAsia" w:eastAsia="方正仿宋_GBK"/>
          <w:bCs/>
          <w:color w:val="000000" w:themeColor="text1"/>
          <w:sz w:val="32"/>
          <w:szCs w:val="32"/>
          <w:lang w:eastAsia="zh-CN"/>
          <w14:textFill>
            <w14:solidFill>
              <w14:schemeClr w14:val="tx1"/>
            </w14:solidFill>
          </w14:textFill>
        </w:rPr>
        <w:t>发送至指定邮箱：</w:t>
      </w:r>
      <w:r>
        <w:rPr>
          <w:rFonts w:hint="eastAsia" w:eastAsia="方正仿宋_GBK"/>
          <w:bCs/>
          <w:color w:val="000000" w:themeColor="text1"/>
          <w:sz w:val="32"/>
          <w:szCs w:val="32"/>
          <w:lang w:val="en-US" w:eastAsia="zh-CN"/>
          <w14:textFill>
            <w14:solidFill>
              <w14:schemeClr w14:val="tx1"/>
            </w14:solidFill>
          </w14:textFill>
        </w:rPr>
        <w:t>cuixue@bj.chinamobile.com</w:t>
      </w:r>
      <w:r>
        <w:rPr>
          <w:rFonts w:eastAsia="方正仿宋_GBK"/>
          <w:bCs/>
          <w:color w:val="000000" w:themeColor="text1"/>
          <w:sz w:val="32"/>
          <w:szCs w:val="32"/>
          <w14:textFill>
            <w14:solidFill>
              <w14:schemeClr w14:val="tx1"/>
            </w14:solidFill>
          </w14:textFill>
        </w:rPr>
        <w:t>。</w:t>
      </w:r>
    </w:p>
    <w:p>
      <w:pPr>
        <w:spacing w:line="560" w:lineRule="exact"/>
        <w:ind w:firstLine="640" w:firstLineChars="200"/>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压缩包名称格式：提报单位（学校全称）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赛事保障</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对于参加本项目的参赛团队，本单位可以根据团队的实际需求，在参观交流、专业指导以及其他项目必须条件等方面提供帮助。</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本单位在参赛团队完成相关审核等程序后可提供参观</w:t>
      </w:r>
      <w:r>
        <w:rPr>
          <w:rFonts w:hint="eastAsia" w:eastAsia="方正仿宋_GBK"/>
          <w:color w:val="000000" w:themeColor="text1"/>
          <w:sz w:val="32"/>
          <w:szCs w:val="32"/>
          <w:lang w:val="en-US" w:eastAsia="zh-CN"/>
          <w14:textFill>
            <w14:solidFill>
              <w14:schemeClr w14:val="tx1"/>
            </w14:solidFill>
          </w14:textFill>
        </w:rPr>
        <w:t>企业</w:t>
      </w:r>
      <w:r>
        <w:rPr>
          <w:rFonts w:eastAsia="方正仿宋_GBK"/>
          <w:color w:val="000000" w:themeColor="text1"/>
          <w:sz w:val="32"/>
          <w:szCs w:val="32"/>
          <w:lang w:val="en-US"/>
          <w14:textFill>
            <w14:solidFill>
              <w14:schemeClr w14:val="tx1"/>
            </w14:solidFill>
          </w14:textFill>
        </w:rPr>
        <w:t>的机会。</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比赛组建专业指导团队，指导团队将由出题单位专家组成，同时为了保证在项目相关资料等问题方面给予团队及时的帮助，团队还将为每个参赛团队指定一名辅导老师，辅导老师由本单位专业技术人员组成，并在参赛团队完成报名后予以明确。</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赛事办公室设在中国</w:t>
      </w:r>
      <w:r>
        <w:rPr>
          <w:rFonts w:hint="eastAsia" w:eastAsia="方正仿宋_GBK"/>
          <w:color w:val="000000" w:themeColor="text1"/>
          <w:sz w:val="32"/>
          <w:szCs w:val="32"/>
          <w:lang w:val="en-US" w:eastAsia="zh-CN"/>
          <w14:textFill>
            <w14:solidFill>
              <w14:schemeClr w14:val="tx1"/>
            </w14:solidFill>
          </w14:textFill>
        </w:rPr>
        <w:t>移动通信集团北京有限公司</w:t>
      </w:r>
      <w:r>
        <w:rPr>
          <w:rFonts w:eastAsia="方正仿宋_GBK"/>
          <w:color w:val="000000" w:themeColor="text1"/>
          <w:sz w:val="32"/>
          <w:szCs w:val="32"/>
          <w:lang w:val="en-US"/>
          <w14:textFill>
            <w14:solidFill>
              <w14:schemeClr w14:val="tx1"/>
            </w14:solidFill>
          </w14:textFill>
        </w:rPr>
        <w:t>，参赛过程中，参赛团队如需本单位提供与项目相关的其他必须帮助，请提前与</w:t>
      </w:r>
      <w:r>
        <w:rPr>
          <w:rFonts w:hint="eastAsia" w:eastAsia="方正仿宋_GBK"/>
          <w:color w:val="000000" w:themeColor="text1"/>
          <w:sz w:val="32"/>
          <w:szCs w:val="32"/>
          <w:lang w:val="en-US" w:eastAsia="zh-CN"/>
          <w14:textFill>
            <w14:solidFill>
              <w14:schemeClr w14:val="tx1"/>
            </w14:solidFill>
          </w14:textFill>
        </w:rPr>
        <w:t>我们</w:t>
      </w:r>
      <w:r>
        <w:rPr>
          <w:rFonts w:eastAsia="方正仿宋_GBK"/>
          <w:color w:val="000000" w:themeColor="text1"/>
          <w:sz w:val="32"/>
          <w:szCs w:val="32"/>
          <w:lang w:val="en-US"/>
          <w14:textFill>
            <w14:solidFill>
              <w14:schemeClr w14:val="tx1"/>
            </w14:solidFill>
          </w14:textFill>
        </w:rPr>
        <w:t>联系，我们将在许可范围内给予参赛团队帮助。</w:t>
      </w: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设奖情况及奖励措施</w:t>
      </w:r>
    </w:p>
    <w:p>
      <w:pPr>
        <w:pStyle w:val="4"/>
        <w:numPr>
          <w:ilvl w:val="0"/>
          <w:numId w:val="6"/>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设特等奖5个，一</w:t>
      </w:r>
      <w:r>
        <w:rPr>
          <w:rFonts w:hint="eastAsia" w:eastAsia="方正仿宋_GBK"/>
          <w:color w:val="000000" w:themeColor="text1"/>
          <w:sz w:val="32"/>
          <w:szCs w:val="32"/>
          <w:lang w:val="en-US" w:eastAsia="zh-CN"/>
          <w14:textFill>
            <w14:solidFill>
              <w14:schemeClr w14:val="tx1"/>
            </w14:solidFill>
          </w14:textFill>
        </w:rPr>
        <w:t>等奖5个，二等奖5个，三等奖5个</w:t>
      </w:r>
      <w:r>
        <w:rPr>
          <w:rFonts w:eastAsia="方正仿宋_GBK"/>
          <w:color w:val="000000" w:themeColor="text1"/>
          <w:sz w:val="32"/>
          <w:szCs w:val="32"/>
          <w:lang w:val="en-US"/>
          <w14:textFill>
            <w14:solidFill>
              <w14:schemeClr w14:val="tx1"/>
            </w14:solidFill>
          </w14:textFill>
        </w:rPr>
        <w:t>，从特等奖获奖团队中决出1个</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w:t>
      </w:r>
    </w:p>
    <w:p>
      <w:pPr>
        <w:pStyle w:val="4"/>
        <w:numPr>
          <w:ilvl w:val="0"/>
          <w:numId w:val="6"/>
        </w:numPr>
        <w:ind w:left="0" w:firstLine="640" w:firstLineChars="200"/>
        <w:rPr>
          <w:rFonts w:hint="eastAsia" w:eastAsia="方正楷体_GBK"/>
        </w:rPr>
      </w:pPr>
      <w:r>
        <w:rPr>
          <w:rFonts w:ascii="Times New Roman" w:hAnsi="Times New Roman" w:eastAsia="方正楷体_GBK"/>
          <w:color w:val="000000" w:themeColor="text1"/>
          <w:lang w:val="en-US"/>
          <w14:textFill>
            <w14:solidFill>
              <w14:schemeClr w14:val="tx1"/>
            </w14:solidFill>
          </w14:textFill>
        </w:rPr>
        <w:t>奖励措施</w:t>
      </w:r>
    </w:p>
    <w:p>
      <w:pPr>
        <w:numPr>
          <w:ilvl w:val="0"/>
          <w:numId w:val="7"/>
        </w:numPr>
        <w:spacing w:line="560" w:lineRule="exact"/>
        <w:ind w:firstLine="640" w:firstLineChars="200"/>
        <w:jc w:val="both"/>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本单位将结合项目实际，拟奖励“擂主”1万元（从特等奖中决出），特等奖每支队伍0.8万元</w:t>
      </w:r>
      <w:r>
        <w:rPr>
          <w:rFonts w:hint="eastAsia" w:eastAsia="方正仿宋_GBK"/>
          <w:color w:val="000000" w:themeColor="text1"/>
          <w:sz w:val="32"/>
          <w:szCs w:val="32"/>
          <w:lang w:val="en-US" w:eastAsia="zh-CN"/>
          <w14:textFill>
            <w14:solidFill>
              <w14:schemeClr w14:val="tx1"/>
            </w14:solidFill>
          </w14:textFill>
        </w:rPr>
        <w:t>（不含“擂主”）</w:t>
      </w:r>
      <w:r>
        <w:rPr>
          <w:rFonts w:hint="eastAsia" w:eastAsia="方正仿宋_GBK"/>
          <w:color w:val="000000" w:themeColor="text1"/>
          <w:sz w:val="32"/>
          <w:szCs w:val="32"/>
          <w:lang w:val="en-US"/>
          <w14:textFill>
            <w14:solidFill>
              <w14:schemeClr w14:val="tx1"/>
            </w14:solidFill>
          </w14:textFill>
        </w:rPr>
        <w:t>；奖励一等奖每支队伍0.5万元；奖励二等奖每支队伍0.3万元；奖励三等奖每支队伍0.2万元。</w:t>
      </w:r>
    </w:p>
    <w:p>
      <w:pPr>
        <w:numPr>
          <w:ilvl w:val="0"/>
          <w:numId w:val="7"/>
        </w:num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研究成果如具有在本单位实践应用的价值，则获奖团队成员在中国移动通信集团北京有限公司实习生或应届生招聘时，同等条件下可优先录用。“擂主”在同等条件下，可通过实习生“绿色通道”直接获得正式工作机会。</w:t>
      </w:r>
    </w:p>
    <w:p>
      <w:pPr>
        <w:pStyle w:val="4"/>
        <w:numPr>
          <w:ilvl w:val="0"/>
          <w:numId w:val="6"/>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比赛奖励通过现金方式发放，</w:t>
      </w:r>
      <w:r>
        <w:rPr>
          <w:rFonts w:eastAsia="方正仿宋_GBK"/>
          <w:color w:val="000000" w:themeColor="text1"/>
          <w:sz w:val="32"/>
          <w:szCs w:val="32"/>
          <w:lang w:val="en-US"/>
          <w14:textFill>
            <w14:solidFill>
              <w14:schemeClr w14:val="tx1"/>
            </w14:solidFill>
          </w14:textFill>
        </w:rPr>
        <w:t>奖励将在比赛结束后1个季度内，通过银行转账的方式，发放至各获奖团队指定的账号。</w:t>
      </w:r>
    </w:p>
    <w:p>
      <w:pPr>
        <w:pStyle w:val="3"/>
        <w:ind w:firstLine="640"/>
        <w:jc w:val="both"/>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比赛专班联系方式</w:t>
      </w:r>
    </w:p>
    <w:p>
      <w:pPr>
        <w:pStyle w:val="4"/>
        <w:numPr>
          <w:ilvl w:val="0"/>
          <w:numId w:val="8"/>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spacing w:line="560" w:lineRule="exact"/>
        <w:ind w:firstLine="640" w:firstLineChars="200"/>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eastAsia="zh-CN"/>
          <w14:textFill>
            <w14:solidFill>
              <w14:schemeClr w14:val="tx1"/>
            </w14:solidFill>
          </w14:textFill>
        </w:rPr>
        <w:t>袁老师</w:t>
      </w:r>
      <w:r>
        <w:rPr>
          <w:rFonts w:eastAsia="方正仿宋_GBK"/>
          <w:color w:val="000000" w:themeColor="text1"/>
          <w:sz w:val="32"/>
          <w:szCs w:val="32"/>
          <w:lang w:val="en-US"/>
          <w14:textFill>
            <w14:solidFill>
              <w14:schemeClr w14:val="tx1"/>
            </w14:solidFill>
          </w14:textFill>
        </w:rPr>
        <w:t>，联系方式：</w:t>
      </w:r>
      <w:r>
        <w:rPr>
          <w:rFonts w:hint="eastAsia" w:eastAsia="方正仿宋_GBK"/>
          <w:color w:val="000000" w:themeColor="text1"/>
          <w:sz w:val="32"/>
          <w:szCs w:val="32"/>
          <w:lang w:val="en-US" w:eastAsia="zh-CN"/>
          <w14:textFill>
            <w14:solidFill>
              <w14:schemeClr w14:val="tx1"/>
            </w14:solidFill>
          </w14:textFill>
        </w:rPr>
        <w:t>13911108561</w:t>
      </w:r>
    </w:p>
    <w:p>
      <w:pPr>
        <w:spacing w:line="560" w:lineRule="exact"/>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eastAsia="zh-CN"/>
          <w14:textFill>
            <w14:solidFill>
              <w14:schemeClr w14:val="tx1"/>
            </w14:solidFill>
          </w14:textFill>
        </w:rPr>
        <w:t>陈老师</w:t>
      </w:r>
      <w:r>
        <w:rPr>
          <w:rFonts w:eastAsia="方正仿宋_GBK"/>
          <w:color w:val="000000" w:themeColor="text1"/>
          <w:sz w:val="32"/>
          <w:szCs w:val="32"/>
          <w:lang w:val="en-US"/>
          <w14:textFill>
            <w14:solidFill>
              <w14:schemeClr w14:val="tx1"/>
            </w14:solidFill>
          </w14:textFill>
        </w:rPr>
        <w:t>，联系方式：</w:t>
      </w:r>
      <w:r>
        <w:rPr>
          <w:rFonts w:hint="eastAsia" w:eastAsia="方正仿宋_GBK"/>
          <w:color w:val="000000" w:themeColor="text1"/>
          <w:sz w:val="32"/>
          <w:szCs w:val="32"/>
          <w:lang w:val="en-US" w:eastAsia="zh-CN"/>
          <w14:textFill>
            <w14:solidFill>
              <w14:schemeClr w14:val="tx1"/>
            </w14:solidFill>
          </w14:textFill>
        </w:rPr>
        <w:t>13901346757</w:t>
      </w:r>
    </w:p>
    <w:p>
      <w:pPr>
        <w:spacing w:line="560" w:lineRule="exact"/>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 xml:space="preserve">          彭老师，联系方式：13910780093</w:t>
      </w:r>
    </w:p>
    <w:p>
      <w:pPr>
        <w:spacing w:line="560" w:lineRule="exact"/>
        <w:ind w:firstLine="640" w:firstLineChars="200"/>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 xml:space="preserve">          周老师，联系方式：13701368580</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numPr>
          <w:ilvl w:val="0"/>
          <w:numId w:val="8"/>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spacing w:line="560" w:lineRule="exact"/>
        <w:ind w:firstLine="640" w:firstLineChars="200"/>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eastAsia="zh-CN"/>
          <w14:textFill>
            <w14:solidFill>
              <w14:schemeClr w14:val="tx1"/>
            </w14:solidFill>
          </w14:textFill>
        </w:rPr>
        <w:t>崔老师</w:t>
      </w:r>
      <w:r>
        <w:rPr>
          <w:rFonts w:eastAsia="方正仿宋_GBK"/>
          <w:color w:val="000000" w:themeColor="text1"/>
          <w:sz w:val="32"/>
          <w:szCs w:val="32"/>
          <w:lang w:val="en-US"/>
          <w14:textFill>
            <w14:solidFill>
              <w14:schemeClr w14:val="tx1"/>
            </w14:solidFill>
          </w14:textFill>
        </w:rPr>
        <w:t>，联系方式：</w:t>
      </w:r>
      <w:r>
        <w:rPr>
          <w:rFonts w:hint="eastAsia" w:eastAsia="方正仿宋_GBK"/>
          <w:color w:val="000000" w:themeColor="text1"/>
          <w:sz w:val="32"/>
          <w:szCs w:val="32"/>
          <w:lang w:val="en-US" w:eastAsia="zh-CN"/>
          <w14:textFill>
            <w14:solidFill>
              <w14:schemeClr w14:val="tx1"/>
            </w14:solidFill>
          </w14:textFill>
        </w:rPr>
        <w:t>13911537880</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numPr>
          <w:ilvl w:val="0"/>
          <w:numId w:val="8"/>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w:t>
      </w:r>
      <w:r>
        <w:rPr>
          <w:rFonts w:hint="eastAsia" w:eastAsia="方正仿宋_GBK"/>
          <w:color w:val="000000" w:themeColor="text1"/>
          <w:sz w:val="32"/>
          <w:szCs w:val="32"/>
          <w:lang w:val="en-US" w:eastAsia="zh-CN"/>
          <w14:textFill>
            <w14:solidFill>
              <w14:schemeClr w14:val="tx1"/>
            </w14:solidFill>
          </w14:textFill>
        </w:rPr>
        <w:t>9</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0</w:t>
      </w:r>
      <w:r>
        <w:rPr>
          <w:rFonts w:eastAsia="方正仿宋_GBK"/>
          <w:color w:val="000000" w:themeColor="text1"/>
          <w:sz w:val="32"/>
          <w:szCs w:val="32"/>
          <w:lang w:val="en-US"/>
          <w14:textFill>
            <w14:solidFill>
              <w14:schemeClr w14:val="tx1"/>
            </w14:solidFill>
          </w14:textFill>
        </w:rPr>
        <w:t>0-11:30，14:00-17:30）</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bookmarkStart w:id="0" w:name="_GoBack"/>
      <w:bookmarkEnd w:id="0"/>
    </w:p>
    <w:p>
      <w:pPr>
        <w:spacing w:line="560" w:lineRule="exact"/>
        <w:jc w:val="right"/>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t>中国移动通信集团北京有限公司</w:t>
      </w:r>
    </w:p>
    <w:p>
      <w:pP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br w:type="page"/>
      </w: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中国移动通信集团有限公司（简称“中国移动”）是</w:t>
      </w:r>
      <w:r>
        <w:rPr>
          <w:rFonts w:eastAsia="方正仿宋_GBK"/>
          <w:color w:val="000000" w:themeColor="text1"/>
          <w:sz w:val="32"/>
          <w:szCs w:val="32"/>
          <w:lang w:val="en-US"/>
          <w14:textFill>
            <w14:solidFill>
              <w14:schemeClr w14:val="tx1"/>
            </w14:solidFill>
          </w14:textFill>
        </w:rPr>
        <w:t>按照国家电信体制改革总体部署，</w:t>
      </w:r>
      <w:r>
        <w:rPr>
          <w:rFonts w:hint="eastAsia" w:eastAsia="方正仿宋_GBK"/>
          <w:color w:val="000000" w:themeColor="text1"/>
          <w:sz w:val="32"/>
          <w:szCs w:val="32"/>
          <w:lang w:val="en-US"/>
          <w14:textFill>
            <w14:solidFill>
              <w14:schemeClr w14:val="tx1"/>
            </w14:solidFill>
          </w14:textFill>
        </w:rPr>
        <w:t>于2000年组建成立的</w:t>
      </w:r>
      <w:r>
        <w:rPr>
          <w:rFonts w:eastAsia="方正仿宋_GBK"/>
          <w:color w:val="000000" w:themeColor="text1"/>
          <w:sz w:val="32"/>
          <w:szCs w:val="32"/>
          <w:lang w:val="en-US"/>
          <w14:textFill>
            <w14:solidFill>
              <w14:schemeClr w14:val="tx1"/>
            </w14:solidFill>
          </w14:textFill>
        </w:rPr>
        <w:t>中央企业</w:t>
      </w:r>
      <w:r>
        <w:rPr>
          <w:rFonts w:hint="eastAsia" w:eastAsia="方正仿宋_GBK"/>
          <w:color w:val="000000" w:themeColor="text1"/>
          <w:sz w:val="32"/>
          <w:szCs w:val="32"/>
          <w:lang w:val="en-US"/>
          <w14:textFill>
            <w14:solidFill>
              <w14:schemeClr w14:val="tx1"/>
            </w14:solidFill>
          </w14:textFill>
        </w:rPr>
        <w:t>，目前</w:t>
      </w:r>
      <w:r>
        <w:rPr>
          <w:rFonts w:eastAsia="方正仿宋_GBK"/>
          <w:color w:val="000000" w:themeColor="text1"/>
          <w:sz w:val="32"/>
          <w:szCs w:val="32"/>
          <w:lang w:val="en-US"/>
          <w14:textFill>
            <w14:solidFill>
              <w14:schemeClr w14:val="tx1"/>
            </w14:solidFill>
          </w14:textFill>
        </w:rPr>
        <w:t>是</w:t>
      </w:r>
      <w:r>
        <w:rPr>
          <w:rFonts w:hint="eastAsia" w:eastAsia="方正仿宋_GBK"/>
          <w:color w:val="000000" w:themeColor="text1"/>
          <w:sz w:val="32"/>
          <w:szCs w:val="32"/>
          <w:lang w:val="en-US"/>
          <w14:textFill>
            <w14:solidFill>
              <w14:schemeClr w14:val="tx1"/>
            </w14:solidFill>
          </w14:textFill>
        </w:rPr>
        <w:t>全球网络规模最大、客户数量最多、盈利能力和品牌价值领先、市值排名前列的电信运营企业。202</w:t>
      </w:r>
      <w:r>
        <w:rPr>
          <w:rFonts w:hint="default"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年，中国移动位居《财富》杂志“世界500强”排名第</w:t>
      </w:r>
      <w:r>
        <w:rPr>
          <w:rFonts w:hint="default" w:eastAsia="方正仿宋_GBK"/>
          <w:color w:val="000000" w:themeColor="text1"/>
          <w:sz w:val="32"/>
          <w:szCs w:val="32"/>
          <w:lang w:val="en-US"/>
          <w14:textFill>
            <w14:solidFill>
              <w14:schemeClr w14:val="tx1"/>
            </w14:solidFill>
          </w14:textFill>
        </w:rPr>
        <w:t>56</w:t>
      </w:r>
      <w:r>
        <w:rPr>
          <w:rFonts w:hint="eastAsia" w:eastAsia="方正仿宋_GBK"/>
          <w:color w:val="000000" w:themeColor="text1"/>
          <w:sz w:val="32"/>
          <w:szCs w:val="32"/>
          <w:lang w:val="en-US"/>
          <w14:textFill>
            <w14:solidFill>
              <w14:schemeClr w14:val="tx1"/>
            </w14:solidFill>
          </w14:textFill>
        </w:rPr>
        <w:t>位，市值位列全球电信业前三、亚洲</w:t>
      </w:r>
      <w:r>
        <w:rPr>
          <w:rFonts w:eastAsia="方正仿宋_GBK"/>
          <w:color w:val="000000" w:themeColor="text1"/>
          <w:sz w:val="32"/>
          <w:szCs w:val="32"/>
          <w:lang w:val="en-US"/>
          <w14:textFill>
            <w14:solidFill>
              <w14:schemeClr w14:val="tx1"/>
            </w14:solidFill>
          </w14:textFill>
        </w:rPr>
        <w:t>第一</w:t>
      </w:r>
      <w:r>
        <w:rPr>
          <w:rFonts w:hint="eastAsia" w:eastAsia="方正仿宋_GBK"/>
          <w:color w:val="000000" w:themeColor="text1"/>
          <w:sz w:val="32"/>
          <w:szCs w:val="32"/>
          <w:lang w:val="en-US"/>
          <w14:textFill>
            <w14:solidFill>
              <w14:schemeClr w14:val="tx1"/>
            </w14:solidFill>
          </w14:textFill>
        </w:rPr>
        <w:t>，连续1</w:t>
      </w:r>
      <w:r>
        <w:rPr>
          <w:rFonts w:hint="default" w:eastAsia="方正仿宋_GBK"/>
          <w:color w:val="000000" w:themeColor="text1"/>
          <w:sz w:val="32"/>
          <w:szCs w:val="32"/>
          <w:lang w:val="en-US"/>
          <w14:textFill>
            <w14:solidFill>
              <w14:schemeClr w14:val="tx1"/>
            </w14:solidFill>
          </w14:textFill>
        </w:rPr>
        <w:t>7</w:t>
      </w:r>
      <w:r>
        <w:rPr>
          <w:rFonts w:hint="eastAsia" w:eastAsia="方正仿宋_GBK"/>
          <w:color w:val="000000" w:themeColor="text1"/>
          <w:sz w:val="32"/>
          <w:szCs w:val="32"/>
          <w:lang w:val="en-US"/>
          <w14:textFill>
            <w14:solidFill>
              <w14:schemeClr w14:val="tx1"/>
            </w14:solidFill>
          </w14:textFill>
        </w:rPr>
        <w:t>年获得国资委央企经营业绩考核 A 级，被</w:t>
      </w:r>
      <w:r>
        <w:rPr>
          <w:rFonts w:eastAsia="方正仿宋_GBK"/>
          <w:color w:val="000000" w:themeColor="text1"/>
          <w:sz w:val="32"/>
          <w:szCs w:val="32"/>
          <w:lang w:val="en-US"/>
          <w14:textFill>
            <w14:solidFill>
              <w14:schemeClr w14:val="tx1"/>
            </w14:solidFill>
          </w14:textFill>
        </w:rPr>
        <w:t>选定为</w:t>
      </w:r>
      <w:r>
        <w:rPr>
          <w:rFonts w:hint="eastAsia" w:eastAsia="方正仿宋_GBK"/>
          <w:color w:val="000000" w:themeColor="text1"/>
          <w:sz w:val="32"/>
          <w:szCs w:val="32"/>
          <w:lang w:val="en-US"/>
          <w14:textFill>
            <w14:solidFill>
              <w14:schemeClr w14:val="tx1"/>
            </w14:solidFill>
          </w14:textFill>
        </w:rPr>
        <w:t>10家</w:t>
      </w:r>
      <w:r>
        <w:rPr>
          <w:rFonts w:eastAsia="方正仿宋_GBK"/>
          <w:color w:val="000000" w:themeColor="text1"/>
          <w:sz w:val="32"/>
          <w:szCs w:val="32"/>
          <w:lang w:val="en-US"/>
          <w14:textFill>
            <w14:solidFill>
              <w14:schemeClr w14:val="tx1"/>
            </w14:solidFill>
          </w14:textFill>
        </w:rPr>
        <w:t>创建世界</w:t>
      </w:r>
      <w:r>
        <w:rPr>
          <w:rFonts w:hint="eastAsia" w:eastAsia="方正仿宋_GBK"/>
          <w:color w:val="000000" w:themeColor="text1"/>
          <w:sz w:val="32"/>
          <w:szCs w:val="32"/>
          <w:lang w:val="en-US"/>
          <w14:textFill>
            <w14:solidFill>
              <w14:schemeClr w14:val="tx1"/>
            </w14:solidFill>
          </w14:textFill>
        </w:rPr>
        <w:t>一流</w:t>
      </w:r>
      <w:r>
        <w:rPr>
          <w:rFonts w:eastAsia="方正仿宋_GBK"/>
          <w:color w:val="000000" w:themeColor="text1"/>
          <w:sz w:val="32"/>
          <w:szCs w:val="32"/>
          <w:lang w:val="en-US"/>
          <w14:textFill>
            <w14:solidFill>
              <w14:schemeClr w14:val="tx1"/>
            </w14:solidFill>
          </w14:textFill>
        </w:rPr>
        <w:t>示范企业之一</w:t>
      </w:r>
      <w:r>
        <w:rPr>
          <w:rFonts w:hint="eastAsia" w:eastAsia="方正仿宋_GBK"/>
          <w:color w:val="000000" w:themeColor="text1"/>
          <w:sz w:val="32"/>
          <w:szCs w:val="32"/>
          <w:lang w:val="en-US"/>
          <w14:textFill>
            <w14:solidFill>
              <w14:schemeClr w14:val="tx1"/>
            </w14:solidFill>
          </w14:textFill>
        </w:rPr>
        <w:t>。</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近年</w:t>
      </w:r>
      <w:r>
        <w:rPr>
          <w:rFonts w:eastAsia="方正仿宋_GBK"/>
          <w:color w:val="000000" w:themeColor="text1"/>
          <w:sz w:val="32"/>
          <w:szCs w:val="32"/>
          <w:lang w:val="en-US"/>
          <w14:textFill>
            <w14:solidFill>
              <w14:schemeClr w14:val="tx1"/>
            </w14:solidFill>
          </w14:textFill>
        </w:rPr>
        <w:t>来</w:t>
      </w:r>
      <w:r>
        <w:rPr>
          <w:rFonts w:hint="eastAsia" w:eastAsia="方正仿宋_GBK"/>
          <w:color w:val="000000" w:themeColor="text1"/>
          <w:sz w:val="32"/>
          <w:szCs w:val="32"/>
          <w:lang w:val="en-US"/>
          <w14:textFill>
            <w14:solidFill>
              <w14:schemeClr w14:val="tx1"/>
            </w14:solidFill>
          </w14:textFill>
        </w:rPr>
        <w:t>，依托北京市健康稳定的大环境，</w:t>
      </w:r>
      <w:r>
        <w:rPr>
          <w:rFonts w:hint="eastAsia" w:eastAsia="方正仿宋_GBK"/>
          <w:color w:val="000000" w:themeColor="text1"/>
          <w:sz w:val="32"/>
          <w:szCs w:val="32"/>
          <w:lang w:val="en-US" w:eastAsia="zh-CN"/>
          <w14:textFill>
            <w14:solidFill>
              <w14:schemeClr w14:val="tx1"/>
            </w14:solidFill>
          </w14:textFill>
        </w:rPr>
        <w:t>中国移动通信集团北京有限公司（以下简称“北京移动”）</w:t>
      </w:r>
      <w:r>
        <w:rPr>
          <w:rFonts w:hint="eastAsia" w:eastAsia="方正仿宋_GBK"/>
          <w:color w:val="000000" w:themeColor="text1"/>
          <w:sz w:val="32"/>
          <w:szCs w:val="32"/>
          <w:lang w:val="en-US"/>
          <w14:textFill>
            <w14:solidFill>
              <w14:schemeClr w14:val="tx1"/>
            </w14:solidFill>
          </w14:textFill>
        </w:rPr>
        <w:t>以首创精神、首善标准、首强意识加快战略转型，深化改革创新，经营发展</w:t>
      </w:r>
      <w:r>
        <w:rPr>
          <w:rFonts w:eastAsia="方正仿宋_GBK"/>
          <w:color w:val="000000" w:themeColor="text1"/>
          <w:sz w:val="32"/>
          <w:szCs w:val="32"/>
          <w:lang w:val="en-US"/>
          <w14:textFill>
            <w14:solidFill>
              <w14:schemeClr w14:val="tx1"/>
            </w14:solidFill>
          </w14:textFill>
        </w:rPr>
        <w:t>表现稳健</w:t>
      </w:r>
      <w:r>
        <w:rPr>
          <w:rFonts w:hint="eastAsia" w:eastAsia="方正仿宋_GBK"/>
          <w:color w:val="000000" w:themeColor="text1"/>
          <w:sz w:val="32"/>
          <w:szCs w:val="32"/>
          <w:lang w:val="en-US"/>
          <w14:textFill>
            <w14:solidFill>
              <w14:schemeClr w14:val="tx1"/>
            </w14:solidFill>
          </w14:textFill>
        </w:rPr>
        <w:t>，收入</w:t>
      </w:r>
      <w:r>
        <w:rPr>
          <w:rFonts w:eastAsia="方正仿宋_GBK"/>
          <w:color w:val="000000" w:themeColor="text1"/>
          <w:sz w:val="32"/>
          <w:szCs w:val="32"/>
          <w:lang w:val="en-US"/>
          <w14:textFill>
            <w14:solidFill>
              <w14:schemeClr w14:val="tx1"/>
            </w14:solidFill>
          </w14:textFill>
        </w:rPr>
        <w:t>规模、</w:t>
      </w:r>
      <w:r>
        <w:rPr>
          <w:rFonts w:hint="eastAsia" w:eastAsia="方正仿宋_GBK"/>
          <w:color w:val="000000" w:themeColor="text1"/>
          <w:sz w:val="32"/>
          <w:szCs w:val="32"/>
          <w:lang w:val="en-US"/>
          <w14:textFill>
            <w14:solidFill>
              <w14:schemeClr w14:val="tx1"/>
            </w14:solidFill>
          </w14:textFill>
        </w:rPr>
        <w:t>网络</w:t>
      </w:r>
      <w:r>
        <w:rPr>
          <w:rFonts w:eastAsia="方正仿宋_GBK"/>
          <w:color w:val="000000" w:themeColor="text1"/>
          <w:sz w:val="32"/>
          <w:szCs w:val="32"/>
          <w:lang w:val="en-US"/>
          <w14:textFill>
            <w14:solidFill>
              <w14:schemeClr w14:val="tx1"/>
            </w14:solidFill>
          </w14:textFill>
        </w:rPr>
        <w:t>规模、客户规模</w:t>
      </w:r>
      <w:r>
        <w:rPr>
          <w:rFonts w:hint="eastAsia" w:eastAsia="方正仿宋_GBK"/>
          <w:color w:val="000000" w:themeColor="text1"/>
          <w:sz w:val="32"/>
          <w:szCs w:val="32"/>
          <w:lang w:val="en-US"/>
          <w14:textFill>
            <w14:solidFill>
              <w14:schemeClr w14:val="tx1"/>
            </w14:solidFill>
          </w14:textFill>
        </w:rPr>
        <w:t>保持区域</w:t>
      </w:r>
      <w:r>
        <w:rPr>
          <w:rFonts w:eastAsia="方正仿宋_GBK"/>
          <w:color w:val="000000" w:themeColor="text1"/>
          <w:sz w:val="32"/>
          <w:szCs w:val="32"/>
          <w:lang w:val="en-US"/>
          <w14:textFill>
            <w14:solidFill>
              <w14:schemeClr w14:val="tx1"/>
            </w14:solidFill>
          </w14:textFill>
        </w:rPr>
        <w:t>领先</w:t>
      </w:r>
      <w:r>
        <w:rPr>
          <w:rFonts w:hint="eastAsia" w:eastAsia="方正仿宋_GBK"/>
          <w:color w:val="000000" w:themeColor="text1"/>
          <w:sz w:val="32"/>
          <w:szCs w:val="32"/>
          <w:lang w:val="en-US"/>
          <w14:textFill>
            <w14:solidFill>
              <w14:schemeClr w14:val="tx1"/>
            </w14:solidFill>
          </w14:textFill>
        </w:rPr>
        <w:t>。北京移动坚持“质量是通信企业的生命线”和“客户为根，服务为本”的理念，不断</w:t>
      </w:r>
      <w:r>
        <w:rPr>
          <w:rFonts w:eastAsia="方正仿宋_GBK"/>
          <w:color w:val="000000" w:themeColor="text1"/>
          <w:sz w:val="32"/>
          <w:szCs w:val="32"/>
          <w:lang w:val="en-US"/>
          <w14:textFill>
            <w14:solidFill>
              <w14:schemeClr w14:val="tx1"/>
            </w14:solidFill>
          </w14:textFill>
        </w:rPr>
        <w:t>改善提升</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通信</w:t>
      </w:r>
      <w:r>
        <w:rPr>
          <w:rFonts w:hint="eastAsia" w:eastAsia="方正仿宋_GBK"/>
          <w:color w:val="000000" w:themeColor="text1"/>
          <w:sz w:val="32"/>
          <w:szCs w:val="32"/>
          <w:lang w:val="en-US"/>
          <w14:textFill>
            <w14:solidFill>
              <w14:schemeClr w14:val="tx1"/>
            </w14:solidFill>
          </w14:textFill>
        </w:rPr>
        <w:t>网络质量和信息服务能力保持行业领先水平。</w:t>
      </w:r>
    </w:p>
    <w:p>
      <w:pPr>
        <w:spacing w:line="520" w:lineRule="exact"/>
        <w:ind w:firstLine="640" w:firstLineChars="200"/>
        <w:jc w:val="both"/>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面向未来，北京移动将紧密围绕</w:t>
      </w:r>
      <w:r>
        <w:rPr>
          <w:rFonts w:eastAsia="方正仿宋_GBK"/>
          <w:color w:val="000000" w:themeColor="text1"/>
          <w:sz w:val="32"/>
          <w:szCs w:val="32"/>
          <w:lang w:val="en-US"/>
          <w14:textFill>
            <w14:solidFill>
              <w14:schemeClr w14:val="tx1"/>
            </w14:solidFill>
          </w14:textFill>
        </w:rPr>
        <w:t>首都</w:t>
      </w:r>
      <w:r>
        <w:rPr>
          <w:rFonts w:hint="eastAsia" w:eastAsia="方正仿宋_GBK"/>
          <w:color w:val="000000" w:themeColor="text1"/>
          <w:sz w:val="32"/>
          <w:szCs w:val="32"/>
          <w:lang w:val="en-US"/>
          <w14:textFill>
            <w14:solidFill>
              <w14:schemeClr w14:val="tx1"/>
            </w14:solidFill>
          </w14:textFill>
        </w:rPr>
        <w:t>“两区</w:t>
      </w:r>
      <w:r>
        <w:rPr>
          <w:rFonts w:eastAsia="方正仿宋_GBK"/>
          <w:color w:val="000000" w:themeColor="text1"/>
          <w:sz w:val="32"/>
          <w:szCs w:val="32"/>
          <w:lang w:val="en-US"/>
          <w14:textFill>
            <w14:solidFill>
              <w14:schemeClr w14:val="tx1"/>
            </w14:solidFill>
          </w14:textFill>
        </w:rPr>
        <w:t>四中心</w:t>
      </w:r>
      <w:r>
        <w:rPr>
          <w:rFonts w:hint="eastAsia" w:eastAsia="方正仿宋_GBK"/>
          <w:color w:val="000000" w:themeColor="text1"/>
          <w:sz w:val="32"/>
          <w:szCs w:val="32"/>
          <w:lang w:val="en-US"/>
          <w14:textFill>
            <w14:solidFill>
              <w14:schemeClr w14:val="tx1"/>
            </w14:solidFill>
          </w14:textFill>
        </w:rPr>
        <w:t>”建设</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以中国移动创世界</w:t>
      </w:r>
      <w:r>
        <w:rPr>
          <w:rFonts w:eastAsia="方正仿宋_GBK"/>
          <w:color w:val="000000" w:themeColor="text1"/>
          <w:sz w:val="32"/>
          <w:szCs w:val="32"/>
          <w:lang w:val="en-US"/>
          <w14:textFill>
            <w14:solidFill>
              <w14:schemeClr w14:val="tx1"/>
            </w14:solidFill>
          </w14:textFill>
        </w:rPr>
        <w:t>一流</w:t>
      </w:r>
      <w:r>
        <w:rPr>
          <w:rFonts w:hint="eastAsia" w:eastAsia="方正仿宋_GBK"/>
          <w:color w:val="000000" w:themeColor="text1"/>
          <w:sz w:val="32"/>
          <w:szCs w:val="32"/>
          <w:lang w:val="en-US"/>
          <w14:textFill>
            <w14:solidFill>
              <w14:schemeClr w14:val="tx1"/>
            </w14:solidFill>
          </w14:textFill>
        </w:rPr>
        <w:t>“力量</w:t>
      </w:r>
      <w:r>
        <w:rPr>
          <w:rFonts w:eastAsia="方正仿宋_GBK"/>
          <w:color w:val="000000" w:themeColor="text1"/>
          <w:sz w:val="32"/>
          <w:szCs w:val="32"/>
          <w:lang w:val="en-US"/>
          <w14:textFill>
            <w14:solidFill>
              <w14:schemeClr w14:val="tx1"/>
            </w14:solidFill>
          </w14:textFill>
        </w:rPr>
        <w:t>大厦</w:t>
      </w:r>
      <w:r>
        <w:rPr>
          <w:rFonts w:hint="eastAsia" w:eastAsia="方正仿宋_GBK"/>
          <w:color w:val="000000" w:themeColor="text1"/>
          <w:sz w:val="32"/>
          <w:szCs w:val="32"/>
          <w:lang w:val="en-US"/>
          <w14:textFill>
            <w14:solidFill>
              <w14:schemeClr w14:val="tx1"/>
            </w14:solidFill>
          </w14:textFill>
        </w:rPr>
        <w:t>”为</w:t>
      </w:r>
      <w:r>
        <w:rPr>
          <w:rFonts w:eastAsia="方正仿宋_GBK"/>
          <w:color w:val="000000" w:themeColor="text1"/>
          <w:sz w:val="32"/>
          <w:szCs w:val="32"/>
          <w:lang w:val="en-US"/>
          <w14:textFill>
            <w14:solidFill>
              <w14:schemeClr w14:val="tx1"/>
            </w14:solidFill>
          </w14:textFill>
        </w:rPr>
        <w:t>指引，</w:t>
      </w:r>
      <w:r>
        <w:rPr>
          <w:rFonts w:hint="eastAsia" w:eastAsia="方正仿宋_GBK"/>
          <w:color w:val="000000" w:themeColor="text1"/>
          <w:sz w:val="32"/>
          <w:szCs w:val="32"/>
          <w:lang w:val="en-US"/>
          <w14:textFill>
            <w14:solidFill>
              <w14:schemeClr w14:val="tx1"/>
            </w14:solidFill>
          </w14:textFill>
        </w:rPr>
        <w:t>坚持“创新、求实、协作、争先”的文化理念，以卓越品质锻造一流信息服务，加快</w:t>
      </w:r>
      <w:r>
        <w:rPr>
          <w:rFonts w:eastAsia="方正仿宋_GBK"/>
          <w:color w:val="000000" w:themeColor="text1"/>
          <w:sz w:val="32"/>
          <w:szCs w:val="32"/>
          <w:lang w:val="en-US"/>
          <w14:textFill>
            <w14:solidFill>
              <w14:schemeClr w14:val="tx1"/>
            </w14:solidFill>
          </w14:textFill>
        </w:rPr>
        <w:t>创建世界一流企业，</w:t>
      </w:r>
      <w:r>
        <w:rPr>
          <w:rFonts w:hint="eastAsia" w:eastAsia="方正仿宋_GBK"/>
          <w:color w:val="000000" w:themeColor="text1"/>
          <w:sz w:val="32"/>
          <w:szCs w:val="32"/>
          <w:lang w:val="en-US"/>
          <w14:textFill>
            <w14:solidFill>
              <w14:schemeClr w14:val="tx1"/>
            </w14:solidFill>
          </w14:textFill>
        </w:rPr>
        <w:t>为全面</w:t>
      </w:r>
      <w:r>
        <w:rPr>
          <w:rFonts w:eastAsia="方正仿宋_GBK"/>
          <w:color w:val="000000" w:themeColor="text1"/>
          <w:sz w:val="32"/>
          <w:szCs w:val="32"/>
          <w:lang w:val="en-US"/>
          <w14:textFill>
            <w14:solidFill>
              <w14:schemeClr w14:val="tx1"/>
            </w14:solidFill>
          </w14:textFill>
        </w:rPr>
        <w:t>建设</w:t>
      </w:r>
      <w:r>
        <w:rPr>
          <w:rFonts w:hint="eastAsia" w:eastAsia="方正仿宋_GBK"/>
          <w:color w:val="000000" w:themeColor="text1"/>
          <w:sz w:val="32"/>
          <w:szCs w:val="32"/>
          <w:lang w:val="en-US"/>
          <w14:textFill>
            <w14:solidFill>
              <w14:schemeClr w14:val="tx1"/>
            </w14:solidFill>
          </w14:textFill>
        </w:rPr>
        <w:t>“国际一流的和谐宜居之都”</w:t>
      </w:r>
      <w:r>
        <w:rPr>
          <w:rFonts w:hint="eastAsia" w:eastAsia="方正仿宋_GBK"/>
          <w:color w:val="000000" w:themeColor="text1"/>
          <w:sz w:val="32"/>
          <w:szCs w:val="32"/>
          <w:lang w:val="en-US" w:eastAsia="zh-CN"/>
          <w14:textFill>
            <w14:solidFill>
              <w14:schemeClr w14:val="tx1"/>
            </w14:solidFill>
          </w14:textFill>
        </w:rPr>
        <w:t>、打造全球数字经济标杆城市</w:t>
      </w:r>
      <w:r>
        <w:rPr>
          <w:rFonts w:hint="eastAsia" w:eastAsia="方正仿宋_GBK"/>
          <w:color w:val="000000" w:themeColor="text1"/>
          <w:sz w:val="32"/>
          <w:szCs w:val="32"/>
          <w:lang w:val="en-US"/>
          <w14:textFill>
            <w14:solidFill>
              <w14:schemeClr w14:val="tx1"/>
            </w14:solidFill>
          </w14:textFill>
        </w:rPr>
        <w:t>做出新的更大贡献。</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p>
    <w:sectPr>
      <w:footerReference r:id="rId3" w:type="default"/>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62B4A8"/>
    <w:multiLevelType w:val="singleLevel"/>
    <w:tmpl w:val="9A62B4A8"/>
    <w:lvl w:ilvl="0" w:tentative="0">
      <w:start w:val="1"/>
      <w:numFmt w:val="decimal"/>
      <w:suff w:val="nothing"/>
      <w:lvlText w:val="（%1）"/>
      <w:lvlJc w:val="left"/>
    </w:lvl>
  </w:abstractNum>
  <w:abstractNum w:abstractNumId="1">
    <w:nsid w:val="BE508F7C"/>
    <w:multiLevelType w:val="singleLevel"/>
    <w:tmpl w:val="BE508F7C"/>
    <w:lvl w:ilvl="0" w:tentative="0">
      <w:start w:val="1"/>
      <w:numFmt w:val="decimal"/>
      <w:suff w:val="space"/>
      <w:lvlText w:val="（%1）"/>
      <w:lvlJc w:val="left"/>
    </w:lvl>
  </w:abstractNum>
  <w:abstractNum w:abstractNumId="2">
    <w:nsid w:val="D8755CFC"/>
    <w:multiLevelType w:val="singleLevel"/>
    <w:tmpl w:val="D8755CFC"/>
    <w:lvl w:ilvl="0" w:tentative="0">
      <w:start w:val="1"/>
      <w:numFmt w:val="decimal"/>
      <w:suff w:val="space"/>
      <w:lvlText w:val="%1."/>
      <w:lvlJc w:val="left"/>
      <w:rPr>
        <w:rFonts w:hint="default" w:ascii="Times New Roman" w:hAnsi="Times New Roman" w:cs="Times New Roman"/>
      </w:rPr>
    </w:lvl>
  </w:abstractNum>
  <w:abstractNum w:abstractNumId="3">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4">
    <w:nsid w:val="1C0CFABB"/>
    <w:multiLevelType w:val="singleLevel"/>
    <w:tmpl w:val="1C0CFABB"/>
    <w:lvl w:ilvl="0" w:tentative="0">
      <w:start w:val="1"/>
      <w:numFmt w:val="decimal"/>
      <w:suff w:val="space"/>
      <w:lvlText w:val="（%1）"/>
      <w:lvlJc w:val="left"/>
      <w:rPr>
        <w:rFonts w:hint="default" w:ascii="Times New Roman" w:hAnsi="Times New Roman" w:eastAsia="方正楷体_GBK" w:cs="Times New Roman"/>
      </w:rPr>
    </w:lvl>
  </w:abstractNum>
  <w:abstractNum w:abstractNumId="5">
    <w:nsid w:val="52994999"/>
    <w:multiLevelType w:val="singleLevel"/>
    <w:tmpl w:val="52994999"/>
    <w:lvl w:ilvl="0" w:tentative="0">
      <w:start w:val="1"/>
      <w:numFmt w:val="decimal"/>
      <w:pStyle w:val="4"/>
      <w:suff w:val="space"/>
      <w:lvlText w:val="%1."/>
      <w:lvlJc w:val="left"/>
      <w:pPr>
        <w:ind w:left="454" w:hanging="454"/>
      </w:pPr>
      <w:rPr>
        <w:rFonts w:hint="default" w:ascii="Times New Roman" w:hAnsi="Times New Roman" w:eastAsia="方正仿宋楷体" w:cs="Times New Roman"/>
        <w:sz w:val="32"/>
        <w:szCs w:val="32"/>
      </w:rPr>
    </w:lvl>
  </w:abstractNum>
  <w:num w:numId="1">
    <w:abstractNumId w:val="3"/>
  </w:num>
  <w:num w:numId="2">
    <w:abstractNumId w:val="5"/>
  </w:num>
  <w:num w:numId="3">
    <w:abstractNumId w:val="2"/>
  </w:num>
  <w:num w:numId="4">
    <w:abstractNumId w:val="4"/>
  </w:num>
  <w:num w:numId="5">
    <w:abstractNumId w:val="0"/>
  </w:num>
  <w:num w:numId="6">
    <w:abstractNumId w:val="5"/>
    <w:lvlOverride w:ilvl="0">
      <w:startOverride w:val="1"/>
    </w:lvlOverride>
  </w:num>
  <w:num w:numId="7">
    <w:abstractNumId w:val="1"/>
  </w:num>
  <w:num w:numId="8">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37F14"/>
    <w:rsid w:val="01D51F5B"/>
    <w:rsid w:val="0201655F"/>
    <w:rsid w:val="02481270"/>
    <w:rsid w:val="029E34F5"/>
    <w:rsid w:val="03294FF9"/>
    <w:rsid w:val="03803D68"/>
    <w:rsid w:val="03910A32"/>
    <w:rsid w:val="03FE7196"/>
    <w:rsid w:val="040E5D41"/>
    <w:rsid w:val="043549F2"/>
    <w:rsid w:val="04816A57"/>
    <w:rsid w:val="04853FBB"/>
    <w:rsid w:val="04F061E7"/>
    <w:rsid w:val="051528EC"/>
    <w:rsid w:val="05185E54"/>
    <w:rsid w:val="05776D66"/>
    <w:rsid w:val="05C978FD"/>
    <w:rsid w:val="05E31242"/>
    <w:rsid w:val="0653034C"/>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3E417A"/>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EC74ACA"/>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384D04"/>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2E68F2"/>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3256AA"/>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6A54E31"/>
    <w:rsid w:val="5712150D"/>
    <w:rsid w:val="5761720E"/>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6A3023"/>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714FC3"/>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8F043EA"/>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773</Words>
  <Characters>4409</Characters>
  <Lines>36</Lines>
  <Paragraphs>10</Paragraphs>
  <TotalTime>0</TotalTime>
  <ScaleCrop>false</ScaleCrop>
  <LinksUpToDate>false</LinksUpToDate>
  <CharactersWithSpaces>5172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2024-04-17T00:44:02Z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262A5D6994314F0AAC043E0D8D7C2F0D</vt:lpwstr>
  </property>
</Properties>
</file>