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45" w:type="dxa"/>
        <w:jc w:val="center"/>
        <w:tblLook w:val="04A0"/>
      </w:tblPr>
      <w:tblGrid>
        <w:gridCol w:w="16145"/>
      </w:tblGrid>
      <w:tr w:rsidR="005171C5" w:rsidRPr="00976FA0" w:rsidTr="00935FB0">
        <w:trPr>
          <w:trHeight w:val="361"/>
          <w:jc w:val="center"/>
        </w:trPr>
        <w:tc>
          <w:tcPr>
            <w:tcW w:w="16145" w:type="dxa"/>
            <w:tcBorders>
              <w:top w:val="nil"/>
              <w:left w:val="nil"/>
              <w:bottom w:val="nil"/>
              <w:right w:val="nil"/>
            </w:tcBorders>
            <w:shd w:val="clear" w:color="auto" w:fill="auto"/>
            <w:vAlign w:val="center"/>
            <w:hideMark/>
          </w:tcPr>
          <w:tbl>
            <w:tblPr>
              <w:tblW w:w="15928" w:type="dxa"/>
              <w:tblLook w:val="04A0"/>
            </w:tblPr>
            <w:tblGrid>
              <w:gridCol w:w="778"/>
              <w:gridCol w:w="3957"/>
              <w:gridCol w:w="1489"/>
              <w:gridCol w:w="1341"/>
              <w:gridCol w:w="2078"/>
              <w:gridCol w:w="3252"/>
              <w:gridCol w:w="3033"/>
            </w:tblGrid>
            <w:tr w:rsidR="005171C5" w:rsidRPr="00976FA0" w:rsidTr="00935FB0">
              <w:trPr>
                <w:trHeight w:val="828"/>
              </w:trPr>
              <w:tc>
                <w:tcPr>
                  <w:tcW w:w="15928" w:type="dxa"/>
                  <w:gridSpan w:val="7"/>
                  <w:tcBorders>
                    <w:top w:val="nil"/>
                    <w:left w:val="nil"/>
                    <w:bottom w:val="single" w:sz="4" w:space="0" w:color="auto"/>
                    <w:right w:val="nil"/>
                  </w:tcBorders>
                  <w:shd w:val="clear" w:color="auto" w:fill="auto"/>
                  <w:vAlign w:val="center"/>
                  <w:hideMark/>
                </w:tcPr>
                <w:p w:rsidR="005171C5" w:rsidRPr="00976FA0" w:rsidRDefault="005171C5" w:rsidP="00935FB0">
                  <w:pPr>
                    <w:widowControl/>
                    <w:spacing w:line="400" w:lineRule="exact"/>
                    <w:rPr>
                      <w:rFonts w:ascii="仿宋_GB2312" w:eastAsia="仿宋_GB2312" w:hAnsi="宋体" w:cs="宋体" w:hint="eastAsia"/>
                      <w:kern w:val="0"/>
                      <w:sz w:val="32"/>
                      <w:szCs w:val="32"/>
                    </w:rPr>
                  </w:pPr>
                  <w:r w:rsidRPr="00976FA0">
                    <w:rPr>
                      <w:rFonts w:ascii="仿宋_GB2312" w:eastAsia="仿宋_GB2312" w:hAnsi="宋体" w:cs="宋体" w:hint="eastAsia"/>
                      <w:kern w:val="0"/>
                      <w:sz w:val="32"/>
                      <w:szCs w:val="32"/>
                    </w:rPr>
                    <w:t>附件1</w:t>
                  </w:r>
                </w:p>
                <w:p w:rsidR="005171C5" w:rsidRPr="00976FA0" w:rsidRDefault="005171C5" w:rsidP="00935FB0">
                  <w:pPr>
                    <w:widowControl/>
                    <w:spacing w:line="400" w:lineRule="exact"/>
                    <w:jc w:val="center"/>
                    <w:rPr>
                      <w:rFonts w:ascii="方正小标宋简体" w:eastAsia="方正小标宋简体" w:hAnsi="宋体" w:cs="宋体"/>
                      <w:kern w:val="0"/>
                      <w:sz w:val="36"/>
                      <w:szCs w:val="36"/>
                    </w:rPr>
                  </w:pPr>
                  <w:r w:rsidRPr="00976FA0">
                    <w:rPr>
                      <w:rFonts w:ascii="方正小标宋简体" w:eastAsia="方正小标宋简体" w:hAnsi="宋体" w:cs="宋体" w:hint="eastAsia"/>
                      <w:kern w:val="0"/>
                      <w:sz w:val="36"/>
                      <w:szCs w:val="36"/>
                    </w:rPr>
                    <w:t>四川省成都市温江区2016年上半年面向重点大学</w:t>
                  </w:r>
                  <w:r w:rsidRPr="00976FA0">
                    <w:rPr>
                      <w:rFonts w:ascii="方正小标宋简体" w:eastAsia="方正小标宋简体" w:hAnsi="宋体" w:cs="宋体" w:hint="eastAsia"/>
                      <w:kern w:val="0"/>
                      <w:sz w:val="36"/>
                      <w:szCs w:val="36"/>
                    </w:rPr>
                    <w:br/>
                    <w:t>招聘紧缺专业优秀应届毕业生岗位表</w:t>
                  </w:r>
                </w:p>
              </w:tc>
            </w:tr>
            <w:tr w:rsidR="005171C5" w:rsidRPr="00976FA0" w:rsidTr="00935FB0">
              <w:trPr>
                <w:trHeight w:val="481"/>
              </w:trPr>
              <w:tc>
                <w:tcPr>
                  <w:tcW w:w="778" w:type="dxa"/>
                  <w:vMerge w:val="restart"/>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序号</w:t>
                  </w:r>
                </w:p>
              </w:tc>
              <w:tc>
                <w:tcPr>
                  <w:tcW w:w="3957" w:type="dxa"/>
                  <w:vMerge w:val="restart"/>
                  <w:tcBorders>
                    <w:top w:val="nil"/>
                    <w:left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招聘单位</w:t>
                  </w:r>
                </w:p>
              </w:tc>
              <w:tc>
                <w:tcPr>
                  <w:tcW w:w="4908" w:type="dxa"/>
                  <w:gridSpan w:val="3"/>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招聘岗位</w:t>
                  </w:r>
                </w:p>
              </w:tc>
              <w:tc>
                <w:tcPr>
                  <w:tcW w:w="6285" w:type="dxa"/>
                  <w:gridSpan w:val="2"/>
                  <w:tcBorders>
                    <w:top w:val="single" w:sz="4" w:space="0" w:color="auto"/>
                    <w:left w:val="nil"/>
                    <w:bottom w:val="single" w:sz="4" w:space="0" w:color="auto"/>
                    <w:right w:val="single" w:sz="4" w:space="0" w:color="000000"/>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应聘资格条件</w:t>
                  </w:r>
                </w:p>
              </w:tc>
            </w:tr>
            <w:tr w:rsidR="005171C5" w:rsidRPr="00976FA0" w:rsidTr="00935FB0">
              <w:trPr>
                <w:trHeight w:val="1267"/>
              </w:trPr>
              <w:tc>
                <w:tcPr>
                  <w:tcW w:w="778" w:type="dxa"/>
                  <w:vMerge/>
                  <w:tcBorders>
                    <w:top w:val="nil"/>
                    <w:left w:val="single" w:sz="4" w:space="0" w:color="auto"/>
                    <w:bottom w:val="single" w:sz="4" w:space="0" w:color="auto"/>
                    <w:right w:val="single" w:sz="4" w:space="0" w:color="auto"/>
                  </w:tcBorders>
                  <w:vAlign w:val="center"/>
                  <w:hideMark/>
                </w:tcPr>
                <w:p w:rsidR="005171C5" w:rsidRPr="00976FA0" w:rsidRDefault="005171C5" w:rsidP="00935FB0">
                  <w:pPr>
                    <w:widowControl/>
                    <w:jc w:val="left"/>
                    <w:rPr>
                      <w:rFonts w:ascii="楷体_GB2312" w:eastAsia="楷体_GB2312" w:hAnsi="宋体" w:cs="宋体"/>
                      <w:kern w:val="0"/>
                      <w:sz w:val="22"/>
                      <w:szCs w:val="22"/>
                    </w:rPr>
                  </w:pPr>
                </w:p>
              </w:tc>
              <w:tc>
                <w:tcPr>
                  <w:tcW w:w="3957" w:type="dxa"/>
                  <w:vMerge/>
                  <w:tcBorders>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楷体_GB2312" w:eastAsia="楷体_GB2312" w:hAnsi="宋体" w:cs="宋体"/>
                      <w:kern w:val="0"/>
                      <w:sz w:val="22"/>
                      <w:szCs w:val="22"/>
                    </w:rPr>
                  </w:pP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岗位类型</w:t>
                  </w:r>
                </w:p>
              </w:tc>
              <w:tc>
                <w:tcPr>
                  <w:tcW w:w="1341"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岗位代码</w:t>
                  </w:r>
                </w:p>
              </w:tc>
              <w:tc>
                <w:tcPr>
                  <w:tcW w:w="20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招聘人数</w:t>
                  </w:r>
                </w:p>
              </w:tc>
              <w:tc>
                <w:tcPr>
                  <w:tcW w:w="3252"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专业</w:t>
                  </w:r>
                </w:p>
              </w:tc>
              <w:tc>
                <w:tcPr>
                  <w:tcW w:w="3033"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楷体_GB2312" w:eastAsia="楷体_GB2312" w:hAnsi="宋体" w:cs="宋体"/>
                      <w:kern w:val="0"/>
                      <w:sz w:val="22"/>
                      <w:szCs w:val="22"/>
                    </w:rPr>
                  </w:pPr>
                  <w:r w:rsidRPr="00976FA0">
                    <w:rPr>
                      <w:rFonts w:ascii="楷体_GB2312" w:eastAsia="楷体_GB2312" w:hAnsi="宋体" w:cs="宋体" w:hint="eastAsia"/>
                      <w:kern w:val="0"/>
                      <w:sz w:val="22"/>
                      <w:szCs w:val="22"/>
                    </w:rPr>
                    <w:t>学历学位</w:t>
                  </w: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1</w:t>
                  </w:r>
                </w:p>
              </w:tc>
              <w:tc>
                <w:tcPr>
                  <w:tcW w:w="3957"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区政府办所属办公室服务中心、区</w:t>
                  </w:r>
                  <w:proofErr w:type="gramStart"/>
                  <w:r w:rsidRPr="00976FA0">
                    <w:rPr>
                      <w:rFonts w:ascii="仿宋_GB2312" w:eastAsia="仿宋_GB2312" w:hAnsi="宋体" w:cs="宋体" w:hint="eastAsia"/>
                      <w:kern w:val="0"/>
                      <w:sz w:val="22"/>
                      <w:szCs w:val="22"/>
                    </w:rPr>
                    <w:t>投促局</w:t>
                  </w:r>
                  <w:proofErr w:type="gramEnd"/>
                  <w:r w:rsidRPr="00976FA0">
                    <w:rPr>
                      <w:rFonts w:ascii="仿宋_GB2312" w:eastAsia="仿宋_GB2312" w:hAnsi="宋体" w:cs="宋体" w:hint="eastAsia"/>
                      <w:kern w:val="0"/>
                      <w:sz w:val="22"/>
                      <w:szCs w:val="22"/>
                    </w:rPr>
                    <w:t>所属投资信息服务中心、区现代服务业园区管委会</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管理岗位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0101</w:t>
                  </w:r>
                </w:p>
              </w:tc>
              <w:tc>
                <w:tcPr>
                  <w:tcW w:w="2078" w:type="dxa"/>
                  <w:vMerge w:val="restart"/>
                  <w:tcBorders>
                    <w:top w:val="nil"/>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35</w:t>
                  </w: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生物医学工程类、化工与制药类</w:t>
                  </w:r>
                </w:p>
              </w:tc>
              <w:tc>
                <w:tcPr>
                  <w:tcW w:w="3033" w:type="dxa"/>
                  <w:vMerge w:val="restart"/>
                  <w:tcBorders>
                    <w:top w:val="nil"/>
                    <w:left w:val="nil"/>
                    <w:right w:val="single" w:sz="4" w:space="0" w:color="auto"/>
                  </w:tcBorders>
                  <w:shd w:val="clear" w:color="auto" w:fill="auto"/>
                  <w:vAlign w:val="center"/>
                  <w:hideMark/>
                </w:tcPr>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hint="eastAsia"/>
                      <w:kern w:val="0"/>
                      <w:sz w:val="22"/>
                      <w:szCs w:val="22"/>
                    </w:rPr>
                  </w:pPr>
                </w:p>
                <w:p w:rsidR="005171C5" w:rsidRPr="00976FA0" w:rsidRDefault="005171C5" w:rsidP="00935FB0">
                  <w:pPr>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普通高等院校本科及以上学历学位</w:t>
                  </w: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2</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区市场监管局所属食品药品快速检测中心</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专业技术岗位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0102</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spacing w:line="240" w:lineRule="exact"/>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食品检测类、药品检测类、医疗器械类、机械工程类、热能能源类</w:t>
                  </w:r>
                </w:p>
              </w:tc>
              <w:tc>
                <w:tcPr>
                  <w:tcW w:w="3033" w:type="dxa"/>
                  <w:vMerge/>
                  <w:tcBorders>
                    <w:left w:val="nil"/>
                    <w:right w:val="single" w:sz="4" w:space="0" w:color="auto"/>
                  </w:tcBorders>
                  <w:shd w:val="clear" w:color="auto" w:fill="auto"/>
                  <w:vAlign w:val="center"/>
                  <w:hideMark/>
                </w:tcPr>
                <w:p w:rsidR="005171C5" w:rsidRPr="00976FA0" w:rsidRDefault="005171C5" w:rsidP="00935FB0">
                  <w:pPr>
                    <w:jc w:val="center"/>
                    <w:rPr>
                      <w:rFonts w:ascii="仿宋_GB2312" w:eastAsia="仿宋_GB2312" w:hAnsi="宋体" w:cs="宋体"/>
                      <w:kern w:val="0"/>
                      <w:sz w:val="22"/>
                      <w:szCs w:val="22"/>
                    </w:rPr>
                  </w:pP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3</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区农发局所属农产品质</w:t>
                  </w:r>
                  <w:proofErr w:type="gramStart"/>
                  <w:r w:rsidRPr="00976FA0">
                    <w:rPr>
                      <w:rFonts w:ascii="仿宋_GB2312" w:eastAsia="仿宋_GB2312" w:hAnsi="宋体" w:cs="宋体" w:hint="eastAsia"/>
                      <w:kern w:val="0"/>
                      <w:sz w:val="22"/>
                      <w:szCs w:val="22"/>
                    </w:rPr>
                    <w:t>量安全</w:t>
                  </w:r>
                  <w:proofErr w:type="gramEnd"/>
                  <w:r w:rsidRPr="00976FA0">
                    <w:rPr>
                      <w:rFonts w:ascii="仿宋_GB2312" w:eastAsia="仿宋_GB2312" w:hAnsi="宋体" w:cs="宋体" w:hint="eastAsia"/>
                      <w:kern w:val="0"/>
                      <w:sz w:val="22"/>
                      <w:szCs w:val="22"/>
                    </w:rPr>
                    <w:t>检验检测站</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专业技术岗位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0103</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应用化学</w:t>
                  </w:r>
                </w:p>
              </w:tc>
              <w:tc>
                <w:tcPr>
                  <w:tcW w:w="3033" w:type="dxa"/>
                  <w:vMerge/>
                  <w:tcBorders>
                    <w:left w:val="nil"/>
                    <w:right w:val="single" w:sz="4" w:space="0" w:color="auto"/>
                  </w:tcBorders>
                  <w:shd w:val="clear" w:color="auto" w:fill="auto"/>
                  <w:vAlign w:val="center"/>
                  <w:hideMark/>
                </w:tcPr>
                <w:p w:rsidR="005171C5" w:rsidRPr="00976FA0" w:rsidRDefault="005171C5" w:rsidP="00935FB0">
                  <w:pPr>
                    <w:jc w:val="center"/>
                    <w:rPr>
                      <w:rFonts w:ascii="仿宋_GB2312" w:eastAsia="仿宋_GB2312" w:hAnsi="宋体" w:cs="宋体" w:hint="eastAsia"/>
                      <w:kern w:val="0"/>
                      <w:sz w:val="22"/>
                      <w:szCs w:val="22"/>
                    </w:rPr>
                  </w:pP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4</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区水</w:t>
                  </w:r>
                  <w:proofErr w:type="gramStart"/>
                  <w:r w:rsidRPr="00976FA0">
                    <w:rPr>
                      <w:rFonts w:ascii="仿宋_GB2312" w:eastAsia="仿宋_GB2312" w:hAnsi="宋体" w:cs="宋体" w:hint="eastAsia"/>
                      <w:kern w:val="0"/>
                      <w:sz w:val="22"/>
                      <w:szCs w:val="22"/>
                    </w:rPr>
                    <w:t>务</w:t>
                  </w:r>
                  <w:proofErr w:type="gramEnd"/>
                  <w:r w:rsidRPr="00976FA0">
                    <w:rPr>
                      <w:rFonts w:ascii="仿宋_GB2312" w:eastAsia="仿宋_GB2312" w:hAnsi="宋体" w:cs="宋体" w:hint="eastAsia"/>
                      <w:kern w:val="0"/>
                      <w:sz w:val="22"/>
                      <w:szCs w:val="22"/>
                    </w:rPr>
                    <w:t>局所属片区水利站</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专业技术岗</w:t>
                  </w:r>
                  <w:r w:rsidRPr="00976FA0">
                    <w:rPr>
                      <w:rFonts w:ascii="仿宋_GB2312" w:eastAsia="仿宋_GB2312" w:hAnsi="宋体" w:cs="宋体" w:hint="eastAsia"/>
                      <w:kern w:val="0"/>
                      <w:sz w:val="22"/>
                      <w:szCs w:val="22"/>
                    </w:rPr>
                    <w:lastRenderedPageBreak/>
                    <w:t>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lastRenderedPageBreak/>
                    <w:t>0104</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水利工程类</w:t>
                  </w:r>
                </w:p>
              </w:tc>
              <w:tc>
                <w:tcPr>
                  <w:tcW w:w="3033" w:type="dxa"/>
                  <w:vMerge/>
                  <w:tcBorders>
                    <w:left w:val="nil"/>
                    <w:right w:val="single" w:sz="4" w:space="0" w:color="auto"/>
                  </w:tcBorders>
                  <w:shd w:val="clear" w:color="auto" w:fill="auto"/>
                  <w:vAlign w:val="center"/>
                  <w:hideMark/>
                </w:tcPr>
                <w:p w:rsidR="005171C5" w:rsidRPr="00976FA0" w:rsidRDefault="005171C5" w:rsidP="00935FB0">
                  <w:pPr>
                    <w:jc w:val="center"/>
                    <w:rPr>
                      <w:rFonts w:ascii="仿宋_GB2312" w:eastAsia="仿宋_GB2312" w:hAnsi="宋体" w:cs="宋体"/>
                      <w:kern w:val="0"/>
                      <w:sz w:val="22"/>
                      <w:szCs w:val="22"/>
                    </w:rPr>
                  </w:pP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lastRenderedPageBreak/>
                    <w:t>5</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区政府办所属办公室服务中心、区委政研室所属政策信息服务中心、区国资金融办、区发改局所属政府投资项目评审管理中心、区财政局所属财会服务中心、区统计局所属统计调查服务中心</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管理岗位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0105</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金融学类、经济学类、资产评估、资产评估与管理、统计学类、财政学类</w:t>
                  </w:r>
                </w:p>
              </w:tc>
              <w:tc>
                <w:tcPr>
                  <w:tcW w:w="3033"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6</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0"/>
                      <w:szCs w:val="20"/>
                    </w:rPr>
                  </w:pPr>
                  <w:r w:rsidRPr="00976FA0">
                    <w:rPr>
                      <w:rFonts w:ascii="仿宋_GB2312" w:eastAsia="仿宋_GB2312" w:hAnsi="宋体" w:cs="宋体" w:hint="eastAsia"/>
                      <w:kern w:val="0"/>
                      <w:sz w:val="22"/>
                      <w:szCs w:val="22"/>
                    </w:rPr>
                    <w:t>区规划局所属规划信息服务中心</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专业技术岗位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0106</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0"/>
                      <w:szCs w:val="20"/>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0"/>
                      <w:szCs w:val="20"/>
                    </w:rPr>
                  </w:pPr>
                  <w:r w:rsidRPr="00976FA0">
                    <w:rPr>
                      <w:rFonts w:ascii="仿宋_GB2312" w:eastAsia="仿宋_GB2312" w:hAnsi="宋体" w:cs="宋体" w:hint="eastAsia"/>
                      <w:kern w:val="0"/>
                      <w:sz w:val="22"/>
                      <w:szCs w:val="22"/>
                    </w:rPr>
                    <w:t>地理科学类、建筑类、测绘类、土木类</w:t>
                  </w:r>
                </w:p>
              </w:tc>
              <w:tc>
                <w:tcPr>
                  <w:tcW w:w="3033"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0"/>
                      <w:szCs w:val="20"/>
                    </w:rPr>
                  </w:pPr>
                </w:p>
              </w:tc>
            </w:tr>
            <w:tr w:rsidR="005171C5" w:rsidRPr="00976FA0" w:rsidTr="00935FB0">
              <w:trPr>
                <w:trHeight w:val="733"/>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7</w:t>
                  </w:r>
                </w:p>
              </w:tc>
              <w:tc>
                <w:tcPr>
                  <w:tcW w:w="3957"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区建设局所属建筑工程质量监督站</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专业技术岗位</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0107</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c>
                <w:tcPr>
                  <w:tcW w:w="3252"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建筑环境与能源应用工程、给水排水工程、给排水科学与工程</w:t>
                  </w:r>
                </w:p>
              </w:tc>
              <w:tc>
                <w:tcPr>
                  <w:tcW w:w="3033"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r>
            <w:tr w:rsidR="005171C5" w:rsidRPr="00976FA0" w:rsidTr="00935FB0">
              <w:trPr>
                <w:trHeight w:val="733"/>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8</w:t>
                  </w:r>
                </w:p>
              </w:tc>
              <w:tc>
                <w:tcPr>
                  <w:tcW w:w="3957"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区生态旅游区管委会</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管理岗位</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0108</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c>
                <w:tcPr>
                  <w:tcW w:w="3252" w:type="dxa"/>
                  <w:tcBorders>
                    <w:top w:val="single" w:sz="4" w:space="0" w:color="auto"/>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hint="eastAsia"/>
                      <w:kern w:val="0"/>
                      <w:sz w:val="22"/>
                      <w:szCs w:val="22"/>
                    </w:rPr>
                  </w:pPr>
                  <w:r w:rsidRPr="00976FA0">
                    <w:rPr>
                      <w:rFonts w:ascii="仿宋_GB2312" w:eastAsia="仿宋_GB2312" w:hAnsi="宋体" w:cs="宋体" w:hint="eastAsia"/>
                      <w:kern w:val="0"/>
                      <w:sz w:val="22"/>
                      <w:szCs w:val="22"/>
                    </w:rPr>
                    <w:t>建筑类、</w:t>
                  </w:r>
                  <w:r>
                    <w:rPr>
                      <w:rFonts w:ascii="仿宋_GB2312" w:eastAsia="仿宋_GB2312" w:hAnsi="宋体" w:cs="宋体" w:hint="eastAsia"/>
                      <w:kern w:val="0"/>
                      <w:sz w:val="22"/>
                      <w:szCs w:val="22"/>
                    </w:rPr>
                    <w:t>规划类</w:t>
                  </w:r>
                </w:p>
              </w:tc>
              <w:tc>
                <w:tcPr>
                  <w:tcW w:w="3033"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9</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区市政公用局所属路灯管理所</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专业技术岗</w:t>
                  </w:r>
                  <w:r w:rsidRPr="00976FA0">
                    <w:rPr>
                      <w:rFonts w:ascii="仿宋_GB2312" w:eastAsia="仿宋_GB2312" w:hAnsi="宋体" w:cs="宋体" w:hint="eastAsia"/>
                      <w:kern w:val="0"/>
                      <w:sz w:val="22"/>
                      <w:szCs w:val="22"/>
                    </w:rPr>
                    <w:lastRenderedPageBreak/>
                    <w:t>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lastRenderedPageBreak/>
                    <w:t>0109</w:t>
                  </w:r>
                </w:p>
              </w:tc>
              <w:tc>
                <w:tcPr>
                  <w:tcW w:w="2078"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市政工程、电气工程、电气工程</w:t>
                  </w:r>
                  <w:r w:rsidRPr="00976FA0">
                    <w:rPr>
                      <w:rFonts w:ascii="仿宋_GB2312" w:eastAsia="仿宋_GB2312" w:hAnsi="宋体" w:cs="宋体" w:hint="eastAsia"/>
                      <w:kern w:val="0"/>
                      <w:sz w:val="22"/>
                      <w:szCs w:val="22"/>
                    </w:rPr>
                    <w:lastRenderedPageBreak/>
                    <w:t>及其自动化、电力工程及其自动化、自动化</w:t>
                  </w:r>
                </w:p>
              </w:tc>
              <w:tc>
                <w:tcPr>
                  <w:tcW w:w="3033" w:type="dxa"/>
                  <w:vMerge/>
                  <w:tcBorders>
                    <w:left w:val="nil"/>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r>
            <w:tr w:rsidR="005171C5" w:rsidRPr="00976FA0" w:rsidTr="00935FB0">
              <w:trPr>
                <w:trHeight w:val="733"/>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lastRenderedPageBreak/>
                    <w:t>10</w:t>
                  </w:r>
                </w:p>
              </w:tc>
              <w:tc>
                <w:tcPr>
                  <w:tcW w:w="3957"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区委宣传部所属文化宣传交流服务中心</w:t>
                  </w:r>
                </w:p>
              </w:tc>
              <w:tc>
                <w:tcPr>
                  <w:tcW w:w="1489"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管理岗位</w:t>
                  </w:r>
                </w:p>
              </w:tc>
              <w:tc>
                <w:tcPr>
                  <w:tcW w:w="1341"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0110</w:t>
                  </w:r>
                </w:p>
              </w:tc>
              <w:tc>
                <w:tcPr>
                  <w:tcW w:w="2078" w:type="dxa"/>
                  <w:vMerge/>
                  <w:tcBorders>
                    <w:left w:val="nil"/>
                    <w:bottom w:val="single" w:sz="4" w:space="0" w:color="auto"/>
                    <w:right w:val="single" w:sz="4" w:space="0" w:color="auto"/>
                  </w:tcBorders>
                  <w:shd w:val="clear" w:color="auto" w:fill="auto"/>
                  <w:noWrap/>
                  <w:vAlign w:val="center"/>
                  <w:hideMark/>
                </w:tcPr>
                <w:p w:rsidR="005171C5" w:rsidRPr="00976FA0" w:rsidRDefault="005171C5" w:rsidP="00935FB0">
                  <w:pPr>
                    <w:widowControl/>
                    <w:jc w:val="center"/>
                    <w:rPr>
                      <w:rFonts w:ascii="仿宋_GB2312" w:eastAsia="仿宋_GB2312" w:hAnsi="宋体" w:cs="宋体"/>
                      <w:kern w:val="0"/>
                      <w:sz w:val="22"/>
                      <w:szCs w:val="22"/>
                    </w:rPr>
                  </w:pPr>
                </w:p>
              </w:tc>
              <w:tc>
                <w:tcPr>
                  <w:tcW w:w="3252" w:type="dxa"/>
                  <w:tcBorders>
                    <w:top w:val="nil"/>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新闻传播学类</w:t>
                  </w:r>
                </w:p>
              </w:tc>
              <w:tc>
                <w:tcPr>
                  <w:tcW w:w="3033" w:type="dxa"/>
                  <w:vMerge/>
                  <w:tcBorders>
                    <w:left w:val="nil"/>
                    <w:bottom w:val="single" w:sz="4" w:space="0" w:color="auto"/>
                    <w:right w:val="single" w:sz="4" w:space="0" w:color="auto"/>
                  </w:tcBorders>
                  <w:shd w:val="clear" w:color="auto" w:fill="auto"/>
                  <w:vAlign w:val="center"/>
                  <w:hideMark/>
                </w:tcPr>
                <w:p w:rsidR="005171C5" w:rsidRPr="00976FA0" w:rsidRDefault="005171C5" w:rsidP="00935FB0">
                  <w:pPr>
                    <w:widowControl/>
                    <w:jc w:val="center"/>
                    <w:rPr>
                      <w:rFonts w:ascii="仿宋_GB2312" w:eastAsia="仿宋_GB2312" w:hAnsi="宋体" w:cs="宋体"/>
                      <w:kern w:val="0"/>
                      <w:sz w:val="22"/>
                      <w:szCs w:val="22"/>
                    </w:rPr>
                  </w:pPr>
                </w:p>
              </w:tc>
            </w:tr>
            <w:tr w:rsidR="005171C5" w:rsidRPr="00976FA0" w:rsidTr="00935FB0">
              <w:trPr>
                <w:trHeight w:val="361"/>
              </w:trPr>
              <w:tc>
                <w:tcPr>
                  <w:tcW w:w="15928" w:type="dxa"/>
                  <w:gridSpan w:val="7"/>
                  <w:tcBorders>
                    <w:top w:val="nil"/>
                    <w:left w:val="nil"/>
                    <w:bottom w:val="nil"/>
                    <w:right w:val="nil"/>
                  </w:tcBorders>
                  <w:shd w:val="clear" w:color="auto" w:fill="auto"/>
                  <w:vAlign w:val="center"/>
                  <w:hideMark/>
                </w:tcPr>
                <w:p w:rsidR="005171C5" w:rsidRPr="00976FA0" w:rsidRDefault="005171C5" w:rsidP="00935FB0">
                  <w:pPr>
                    <w:widowControl/>
                    <w:jc w:val="left"/>
                    <w:rPr>
                      <w:rFonts w:ascii="仿宋_GB2312" w:eastAsia="仿宋_GB2312" w:hAnsi="宋体" w:cs="宋体"/>
                      <w:kern w:val="0"/>
                      <w:sz w:val="22"/>
                      <w:szCs w:val="22"/>
                    </w:rPr>
                  </w:pPr>
                  <w:r w:rsidRPr="00976FA0">
                    <w:rPr>
                      <w:rFonts w:ascii="仿宋_GB2312" w:eastAsia="仿宋_GB2312" w:hAnsi="宋体" w:cs="宋体" w:hint="eastAsia"/>
                      <w:kern w:val="0"/>
                      <w:sz w:val="22"/>
                      <w:szCs w:val="22"/>
                    </w:rPr>
                    <w:t xml:space="preserve">备注：在本科或研究生学历阶段所学专业为岗位要求专业均视为专业条件合格。 </w:t>
                  </w:r>
                </w:p>
              </w:tc>
            </w:tr>
          </w:tbl>
          <w:p w:rsidR="005171C5" w:rsidRPr="00976FA0" w:rsidRDefault="005171C5" w:rsidP="00935FB0">
            <w:pPr>
              <w:widowControl/>
              <w:jc w:val="left"/>
              <w:rPr>
                <w:rFonts w:ascii="仿宋_GB2312" w:eastAsia="仿宋_GB2312" w:hAnsi="宋体" w:cs="宋体" w:hint="eastAsia"/>
                <w:kern w:val="0"/>
                <w:sz w:val="22"/>
                <w:szCs w:val="22"/>
              </w:rPr>
            </w:pPr>
          </w:p>
        </w:tc>
      </w:tr>
    </w:tbl>
    <w:p w:rsidR="00081D0D" w:rsidRPr="005171C5" w:rsidRDefault="00081D0D"/>
    <w:sectPr w:rsidR="00081D0D" w:rsidRPr="005171C5" w:rsidSect="005171C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71C5"/>
    <w:rsid w:val="00081D0D"/>
    <w:rsid w:val="002B13FC"/>
    <w:rsid w:val="005171C5"/>
    <w:rsid w:val="008E4B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2016-03-14T09:09:00Z</dcterms:created>
  <dcterms:modified xsi:type="dcterms:W3CDTF">2016-03-14T09:09:00Z</dcterms:modified>
</cp:coreProperties>
</file>