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sz w:val="30"/>
          <w:szCs w:val="30"/>
          <w:lang w:eastAsia="zh-CN"/>
        </w:rPr>
      </w:pPr>
      <w:r>
        <w:rPr>
          <w:rFonts w:hint="eastAsia" w:asciiTheme="majorEastAsia" w:hAnsiTheme="majorEastAsia" w:eastAsiaTheme="majorEastAsia" w:cstheme="majorEastAsia"/>
          <w:b/>
          <w:sz w:val="30"/>
          <w:szCs w:val="30"/>
          <w:lang w:eastAsia="zh-CN"/>
        </w:rPr>
        <w:t>案例分析现场秀公开案例</w:t>
      </w:r>
    </w:p>
    <w:p>
      <w:pPr>
        <w:jc w:val="center"/>
        <w:rPr>
          <w:rFonts w:hint="eastAsia" w:asciiTheme="majorEastAsia" w:hAnsiTheme="majorEastAsia" w:eastAsiaTheme="majorEastAsia" w:cstheme="majorEastAsia"/>
          <w:b/>
          <w:sz w:val="30"/>
          <w:szCs w:val="30"/>
          <w:lang w:eastAsia="zh-CN"/>
        </w:rPr>
      </w:pPr>
    </w:p>
    <w:p>
      <w:pPr>
        <w:pStyle w:val="4"/>
        <w:numPr>
          <w:numId w:val="0"/>
        </w:numPr>
        <w:ind w:leftChars="0"/>
        <w:rPr>
          <w:rFonts w:hint="eastAsia" w:ascii="Times New Roman" w:hAnsi="Times New Roman"/>
          <w:b/>
          <w:sz w:val="28"/>
        </w:rPr>
      </w:pPr>
      <w:r>
        <w:rPr>
          <w:rFonts w:hint="eastAsia" w:ascii="Times New Roman" w:hAnsi="Times New Roman"/>
          <w:b/>
          <w:sz w:val="28"/>
          <w:lang w:eastAsia="zh-CN"/>
        </w:rPr>
        <w:t>【一】</w:t>
      </w:r>
      <w:r>
        <w:rPr>
          <w:rFonts w:ascii="Times New Roman" w:hAnsi="Times New Roman"/>
          <w:b/>
          <w:sz w:val="28"/>
        </w:rPr>
        <w:t>G20</w:t>
      </w:r>
      <w:r>
        <w:rPr>
          <w:rFonts w:hint="eastAsia" w:ascii="Times New Roman" w:hAnsi="Times New Roman"/>
          <w:b/>
          <w:sz w:val="28"/>
        </w:rPr>
        <w:t>峰会首提数字普惠金融和绿色金融</w:t>
      </w:r>
    </w:p>
    <w:p>
      <w:pPr>
        <w:ind w:firstLine="480"/>
        <w:rPr>
          <w:rFonts w:hint="eastAsia" w:ascii="Times New Roman" w:hAnsi="Times New Roman"/>
        </w:rPr>
      </w:pPr>
      <w:r>
        <w:rPr>
          <w:rFonts w:hint="eastAsia" w:ascii="Times New Roman" w:hAnsi="Times New Roman"/>
        </w:rPr>
        <w:t>普惠金融和绿色金融是此次</w:t>
      </w:r>
      <w:r>
        <w:rPr>
          <w:rFonts w:ascii="Times New Roman" w:hAnsi="Times New Roman"/>
        </w:rPr>
        <w:t>G20</w:t>
      </w:r>
      <w:r>
        <w:rPr>
          <w:rFonts w:hint="eastAsia" w:ascii="Times New Roman" w:hAnsi="Times New Roman"/>
        </w:rPr>
        <w:t>峰会上有关金融的两项重要议题。其中，与普惠金融相匹配的议题是包容性增长，不断整合所有的资源让更多用户收益。本次峰会首次将普惠金融与“数字”相结合，包括《G20数字普惠金融高级原则》《G20普惠金融指标体系》升级版以及《G20中小企业融资行动计划落实框架》3份重要文件经峰会公布后，也将正式成为全球普惠金融发展的指引性文件。此次提交峰会的《高级原则》包括8项原则，66条行动建议，这也是国际社会首次在该领域推出高级别的指引性文件。作为G20的一员，中国数字普惠金融发展理念、经验以及重点关注内容在起草过程中也被融入了《高级原则》。在业内看来，这将促使中国在未来国际普惠金融事业中拥有更多的“话语权”。</w:t>
      </w:r>
    </w:p>
    <w:p>
      <w:pPr>
        <w:ind w:firstLine="480"/>
        <w:rPr>
          <w:rFonts w:hint="eastAsia" w:ascii="Times New Roman" w:hAnsi="Times New Roman"/>
        </w:rPr>
      </w:pPr>
      <w:r>
        <w:rPr>
          <w:rFonts w:hint="eastAsia" w:ascii="Times New Roman" w:hAnsi="Times New Roman"/>
        </w:rPr>
        <w:t>绿色金融是指金融机构在投融资决策中充分考虑其潜在的环境影响，把与环境和气候变化相关的潜在回报、风险和成本融入到金融机构的日常业务中，引导金融资源流向资源节约技术的开发和生态环境保护，使得企业经营更加注重环境影响，消费者逐步形成绿色消费理念。峰会同时形成了《</w:t>
      </w:r>
      <w:r>
        <w:rPr>
          <w:rFonts w:ascii="Times New Roman" w:hAnsi="Times New Roman"/>
        </w:rPr>
        <w:t>G</w:t>
      </w:r>
      <w:r>
        <w:rPr>
          <w:rFonts w:hint="eastAsia" w:ascii="Times New Roman" w:hAnsi="Times New Roman"/>
        </w:rPr>
        <w:t>20绿色金融综合报告》。</w:t>
      </w:r>
    </w:p>
    <w:p>
      <w:pPr>
        <w:ind w:firstLine="480"/>
        <w:rPr>
          <w:rFonts w:hint="eastAsia" w:ascii="Times New Roman" w:hAnsi="Times New Roman"/>
        </w:rPr>
      </w:pPr>
      <w:r>
        <w:rPr>
          <w:rFonts w:hint="eastAsia" w:ascii="Times New Roman" w:hAnsi="Times New Roman"/>
        </w:rPr>
        <w:t>从全球范围来看，绿色金融作为近年来异军突起的新型融资方式，正在成为推进全球实现绿色增长、可持续发展的重要动力。无论从顶层设计还是民间参与，中国绿色金融体系正在成为全球绿色金融的引领者。</w:t>
      </w:r>
    </w:p>
    <w:p>
      <w:pPr>
        <w:ind w:firstLine="480"/>
        <w:rPr>
          <w:rFonts w:hint="eastAsia" w:ascii="Times New Roman" w:hAnsi="Times New Roman"/>
          <w:b/>
        </w:rPr>
      </w:pPr>
      <w:r>
        <w:rPr>
          <w:rFonts w:hint="eastAsia" w:ascii="Times New Roman" w:hAnsi="Times New Roman"/>
          <w:b/>
        </w:rPr>
        <w:t>数字普惠金融和绿色金融是互联网金融发展的产物，在“互联网＋”理念日益普及的今天，数字普惠金融和绿色金融的发展会带给整体经济生活怎样的改变？其的后续发展有怎样的有利条件？又可能面临怎样的困难？</w:t>
      </w:r>
    </w:p>
    <w:p>
      <w:pPr>
        <w:rPr>
          <w:rFonts w:hint="eastAsia" w:ascii="Times New Roman" w:hAnsi="Times New Roman"/>
          <w:b/>
        </w:rPr>
      </w:pPr>
    </w:p>
    <w:p>
      <w:pPr>
        <w:pStyle w:val="4"/>
        <w:numPr>
          <w:numId w:val="0"/>
        </w:numPr>
        <w:ind w:leftChars="0"/>
        <w:rPr>
          <w:rFonts w:hint="eastAsia" w:ascii="Times New Roman" w:hAnsi="Times New Roman"/>
          <w:b/>
          <w:sz w:val="28"/>
        </w:rPr>
      </w:pPr>
      <w:r>
        <w:rPr>
          <w:rFonts w:hint="eastAsia" w:ascii="Times New Roman" w:hAnsi="Times New Roman"/>
          <w:b/>
          <w:sz w:val="28"/>
          <w:lang w:eastAsia="zh-CN"/>
        </w:rPr>
        <w:t>【二】</w:t>
      </w:r>
      <w:r>
        <w:rPr>
          <w:rFonts w:ascii="Times New Roman" w:hAnsi="Times New Roman"/>
          <w:b/>
          <w:sz w:val="28"/>
        </w:rPr>
        <w:t>P2P</w:t>
      </w:r>
      <w:r>
        <w:rPr>
          <w:rFonts w:hint="eastAsia" w:ascii="Times New Roman" w:hAnsi="Times New Roman"/>
          <w:b/>
          <w:sz w:val="28"/>
        </w:rPr>
        <w:t>跑路潮</w:t>
      </w:r>
    </w:p>
    <w:p>
      <w:pPr>
        <w:ind w:firstLine="480"/>
        <w:rPr>
          <w:rFonts w:hint="eastAsia" w:ascii="Times New Roman" w:hAnsi="Times New Roman"/>
        </w:rPr>
      </w:pPr>
      <w:r>
        <w:rPr>
          <w:rFonts w:hint="eastAsia" w:ascii="Times New Roman" w:hAnsi="Times New Roman"/>
        </w:rPr>
        <w:t>2015年12月7日，e租宝被警方突袭调查，并带走40余名员工，这一消息突然在财经圈里传播开来。潜滋暗长的暗流，终成喷涌而出的激流。一次激起千层浪，包括P2P平台e租宝在内的各大互联网金融平台再次引起公众的关注。</w:t>
      </w:r>
    </w:p>
    <w:p>
      <w:pPr>
        <w:ind w:firstLine="480"/>
        <w:rPr>
          <w:rFonts w:hint="eastAsia" w:ascii="Times New Roman" w:hAnsi="Times New Roman"/>
        </w:rPr>
      </w:pPr>
      <w:r>
        <w:rPr>
          <w:rFonts w:hint="eastAsia" w:ascii="Times New Roman" w:hAnsi="Times New Roman"/>
        </w:rPr>
        <w:t>每到年底，网贷行业进入多事之“冬”，问题平台跑路现象就容易出现扎推现象。清盘、停业整顿、卷款跑路、提现困难等各个环节出现问题不一而足。先有20多万投资者的400亿资金无法兑付的泛亚日金宝，后有700亿资金的e租宝。除去被熟知的这两家互联网理财平台外，出现问题的平台还大量存在。</w:t>
      </w:r>
    </w:p>
    <w:p>
      <w:pPr>
        <w:ind w:firstLine="480"/>
        <w:rPr>
          <w:rFonts w:hint="eastAsia" w:ascii="Times New Roman" w:hAnsi="Times New Roman"/>
        </w:rPr>
      </w:pPr>
      <w:r>
        <w:rPr>
          <w:rFonts w:hint="eastAsia" w:ascii="Times New Roman" w:hAnsi="Times New Roman"/>
        </w:rPr>
        <w:t>目前我国已有超过3600家网贷理财平台。据银率网统计,11月全国新增问题平台82家,环比10月大幅增加60.8%。其中，选择“跑路”的平台数就达64家，环比10月激增了433%。截至11月底，全国问题平台数累计为1248家，问题平台占全部平台的比例高达34.5%，也就是说平均每三个平台中就有一个出现了问题。</w:t>
      </w:r>
    </w:p>
    <w:p>
      <w:pPr>
        <w:ind w:firstLine="480"/>
        <w:rPr>
          <w:rFonts w:hint="eastAsia" w:ascii="Times New Roman" w:hAnsi="Times New Roman"/>
        </w:rPr>
      </w:pPr>
      <w:r>
        <w:rPr>
          <w:rFonts w:hint="eastAsia" w:ascii="Times New Roman" w:hAnsi="Times New Roman"/>
        </w:rPr>
        <w:t>但有专家指出，跑路事件中的所谓P2P，并不是真正意义上的互联网金融。为进一步防范这些“披着互联网金融外衣的狼”爆发更多的风险，应该把他们跟互联网金融区别开，以分级监管的思路规范新金融市场。</w:t>
      </w:r>
    </w:p>
    <w:p>
      <w:pPr>
        <w:ind w:firstLine="480"/>
        <w:rPr>
          <w:rFonts w:hint="eastAsia" w:ascii="Times New Roman" w:hAnsi="Times New Roman"/>
          <w:b/>
        </w:rPr>
      </w:pPr>
      <w:r>
        <w:rPr>
          <w:rFonts w:hint="eastAsia" w:ascii="Times New Roman" w:hAnsi="Times New Roman"/>
          <w:b/>
        </w:rPr>
        <w:t>结合互联网金融的特征谈谈</w:t>
      </w:r>
      <w:r>
        <w:rPr>
          <w:rFonts w:ascii="Times New Roman" w:hAnsi="Times New Roman"/>
          <w:b/>
        </w:rPr>
        <w:t>P2P</w:t>
      </w:r>
      <w:r>
        <w:rPr>
          <w:rFonts w:hint="eastAsia" w:ascii="Times New Roman" w:hAnsi="Times New Roman"/>
          <w:b/>
        </w:rPr>
        <w:t>和互联网金融的差别，并分析互联网金融发展过程中应如何避免</w:t>
      </w:r>
      <w:r>
        <w:rPr>
          <w:rFonts w:ascii="Times New Roman" w:hAnsi="Times New Roman"/>
          <w:b/>
        </w:rPr>
        <w:t>P2P</w:t>
      </w:r>
      <w:r>
        <w:rPr>
          <w:rFonts w:hint="eastAsia" w:ascii="Times New Roman" w:hAnsi="Times New Roman"/>
          <w:b/>
        </w:rPr>
        <w:t>发展过程中出现的问题</w:t>
      </w:r>
    </w:p>
    <w:p>
      <w:pPr>
        <w:rPr>
          <w:rFonts w:hint="eastAsia" w:ascii="Times New Roman" w:hAnsi="Times New Roman"/>
          <w:b/>
        </w:rPr>
      </w:pPr>
    </w:p>
    <w:p>
      <w:pPr>
        <w:pStyle w:val="4"/>
        <w:numPr>
          <w:numId w:val="0"/>
        </w:numPr>
        <w:ind w:leftChars="0"/>
        <w:rPr>
          <w:rFonts w:hint="eastAsia" w:ascii="Times New Roman" w:hAnsi="Times New Roman"/>
          <w:b/>
          <w:sz w:val="28"/>
          <w:szCs w:val="28"/>
        </w:rPr>
      </w:pPr>
      <w:r>
        <w:rPr>
          <w:rFonts w:hint="eastAsia" w:ascii="Times New Roman" w:hAnsi="Times New Roman"/>
          <w:b/>
          <w:sz w:val="28"/>
          <w:szCs w:val="28"/>
          <w:lang w:eastAsia="zh-CN"/>
        </w:rPr>
        <w:t>【三】</w:t>
      </w:r>
      <w:r>
        <w:rPr>
          <w:rFonts w:hint="eastAsia" w:ascii="Times New Roman" w:hAnsi="Times New Roman"/>
          <w:b/>
          <w:sz w:val="28"/>
          <w:szCs w:val="28"/>
        </w:rPr>
        <w:t>中钢集团债务重组</w:t>
      </w:r>
      <w:bookmarkStart w:id="0" w:name="_GoBack"/>
      <w:bookmarkEnd w:id="0"/>
    </w:p>
    <w:p>
      <w:pPr>
        <w:ind w:firstLine="480"/>
        <w:rPr>
          <w:rFonts w:hint="eastAsia" w:ascii="Times New Roman" w:hAnsi="Times New Roman"/>
        </w:rPr>
      </w:pPr>
      <w:r>
        <w:rPr>
          <w:rFonts w:hint="eastAsia" w:ascii="Times New Roman" w:hAnsi="Times New Roman"/>
        </w:rPr>
        <w:t>自今年3月国务院首次明确提出可以通过市场化债转股的方式逐步降低企业的杠杆率以来，关于新一轮债转股如何实施的猜测始终不绝于耳。根据此前先例，中外运长航集团旗下保壳成功的长航凤凰和已经退市的长油5都通过债转股的方式得以扭亏，债权人也看到了全身而退的希望，显然，债转股已经成为许多产能过剩企业能够扭亏保壳的“救命稻草”。</w:t>
      </w:r>
    </w:p>
    <w:p>
      <w:pPr>
        <w:ind w:firstLine="480"/>
        <w:rPr>
          <w:rFonts w:hint="eastAsia" w:ascii="Times New Roman" w:hAnsi="Times New Roman"/>
        </w:rPr>
      </w:pPr>
      <w:r>
        <w:rPr>
          <w:rFonts w:hint="eastAsia" w:ascii="Times New Roman" w:hAnsi="Times New Roman"/>
        </w:rPr>
        <w:t>2016年9月27日，国务院批复中钢集团债务重组的有关事项。中钢集团成为本轮债转股中首家“尝鲜”的央企，此次获批，也标志着时隔17年，国内新一轮债转股正式破冰启动。</w:t>
      </w:r>
    </w:p>
    <w:p>
      <w:pPr>
        <w:ind w:firstLine="480"/>
        <w:rPr>
          <w:rFonts w:hint="eastAsia" w:ascii="Times New Roman" w:hAnsi="Times New Roman"/>
        </w:rPr>
      </w:pPr>
      <w:r>
        <w:rPr>
          <w:rFonts w:hint="eastAsia" w:ascii="Times New Roman" w:hAnsi="Times New Roman"/>
        </w:rPr>
        <w:t>由于钢铁矿业陷入10年来最冷寒冬，加上前些年扩张太快管理不善，中钢集团于2014年9月被传出债务逾期风波，在债务多米诺效应下，风波逐渐演变成危机。在银监会、国资委等部门协调下，由中国银行牵头成立债委会，与中钢方面共同协商制定债务重组方案。据债委会核查，截至2014年12月底，中钢集团及所属72家子公司的债务总额逾1000多亿元，其中金融机构债务近750亿元，牵涉境内外80多家银行等金融机构。</w:t>
      </w:r>
    </w:p>
    <w:p>
      <w:pPr>
        <w:ind w:firstLine="480"/>
        <w:rPr>
          <w:rFonts w:hint="eastAsia" w:ascii="Times New Roman" w:hAnsi="Times New Roman"/>
        </w:rPr>
      </w:pPr>
      <w:r>
        <w:rPr>
          <w:rFonts w:hint="eastAsia" w:ascii="Times New Roman" w:hAnsi="Times New Roman"/>
        </w:rPr>
        <w:t>经德勤审计后，金融机构的债务规模在600亿元左右，其中留债规模近300亿元，转股规模近300亿元。”但具体到各家银行，留债和转股的比例各不相同。此外，留债部分的利率也较低，在3%左右。但值得注意的是，该方案涉及债转股中的“股”，可能是可转债，实质还是债券。</w:t>
      </w:r>
    </w:p>
    <w:p>
      <w:pPr>
        <w:ind w:firstLine="480"/>
        <w:rPr>
          <w:rFonts w:hint="eastAsia" w:ascii="Times New Roman" w:hAnsi="Times New Roman"/>
          <w:b/>
        </w:rPr>
      </w:pPr>
      <w:r>
        <w:rPr>
          <w:rFonts w:hint="eastAsia" w:ascii="Times New Roman" w:hAnsi="Times New Roman"/>
          <w:b/>
        </w:rPr>
        <w:t>请运用企业重组的有关知识分析市场化债转股是否是高负债企业的“救命稻草”</w:t>
      </w:r>
    </w:p>
    <w:p>
      <w:pPr>
        <w:rPr>
          <w:rFonts w:hint="eastAsia" w:ascii="Times New Roman" w:hAnsi="Times New Roman"/>
          <w:b/>
        </w:rPr>
      </w:pPr>
    </w:p>
    <w:p>
      <w:pPr>
        <w:rPr>
          <w:rFonts w:hint="eastAsia" w:ascii="Times New Roman" w:hAnsi="Times New Roman"/>
        </w:rPr>
      </w:pP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881"/>
    <w:rsid w:val="00064906"/>
    <w:rsid w:val="00074FA0"/>
    <w:rsid w:val="00086C28"/>
    <w:rsid w:val="000C3E89"/>
    <w:rsid w:val="001614CE"/>
    <w:rsid w:val="00234D3D"/>
    <w:rsid w:val="002F29D7"/>
    <w:rsid w:val="0044112E"/>
    <w:rsid w:val="00471B5B"/>
    <w:rsid w:val="00477178"/>
    <w:rsid w:val="00543118"/>
    <w:rsid w:val="00550292"/>
    <w:rsid w:val="006A445A"/>
    <w:rsid w:val="006D05E6"/>
    <w:rsid w:val="00740586"/>
    <w:rsid w:val="007E3505"/>
    <w:rsid w:val="009D7F81"/>
    <w:rsid w:val="009F15D3"/>
    <w:rsid w:val="00A02C1E"/>
    <w:rsid w:val="00A74720"/>
    <w:rsid w:val="00AF4C3A"/>
    <w:rsid w:val="00B7405E"/>
    <w:rsid w:val="00BB4F57"/>
    <w:rsid w:val="00BF1A3A"/>
    <w:rsid w:val="00C81881"/>
    <w:rsid w:val="00CF0CCC"/>
    <w:rsid w:val="00D74558"/>
    <w:rsid w:val="00DC7AB7"/>
    <w:rsid w:val="00DD0D8D"/>
    <w:rsid w:val="00E45056"/>
    <w:rsid w:val="00F71C72"/>
    <w:rsid w:val="7BE41347"/>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522</Words>
  <Characters>2976</Characters>
  <Lines>24</Lines>
  <Paragraphs>6</Paragraphs>
  <TotalTime>0</TotalTime>
  <ScaleCrop>false</ScaleCrop>
  <LinksUpToDate>false</LinksUpToDate>
  <CharactersWithSpaces>3492</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2016-10-05T03:59:00Z</dcterms:created>
  <dc:creator>Angela  Xiang</dc:creator>
  <cp:lastModifiedBy>Administrator</cp:lastModifiedBy>
  <dcterms:modified xsi:type="dcterms:W3CDTF">2016-10-08T07:11:28Z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